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F17EA1" Type="http://schemas.openxmlformats.org/officeDocument/2006/relationships/officeDocument" Target="/word/document.xml" /><Relationship Id="coreRCF17EA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166/2022/DSOZ</w:t>
        <w:br w:type="textWrapping"/>
        <w:t>Prezesa Narodowego Funduszu Zdrowia</w:t>
        <w:br w:type="textWrapping"/>
        <w:t>z dnia 21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ROZLICZENIOWYCH - finansowanych bezlimitowo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7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</w:t>
            </w:r>
          </w:p>
        </w:tc>
        <w:tc>
          <w:tcPr>
            <w:tcW w:w="27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</w:t>
            </w:r>
          </w:p>
        </w:tc>
        <w:tc>
          <w:tcPr>
            <w:tcW w:w="414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Skojarzony zakres świadczeń </w:t>
            </w:r>
          </w:p>
        </w:tc>
        <w:tc>
          <w:tcPr>
            <w:tcW w:w="723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Produkty rozliczeniowe</w:t>
            </w:r>
          </w:p>
        </w:tc>
        <w:tc>
          <w:tcPr>
            <w:tcW w:w="547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4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 rozliczeniowego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 rozliczeniowego</w:t>
            </w:r>
          </w:p>
        </w:tc>
        <w:tc>
          <w:tcPr>
            <w:tcW w:w="54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55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1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03.4605.033.02 </w:t>
            </w:r>
          </w:p>
        </w:tc>
        <w:tc>
          <w:tcPr>
            <w:tcW w:w="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Przezcewnikowa nieoperacyjna naprawa zastawki mitralnej u chorych wysokiego ryzyka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03.4605.333.02</w:t>
            </w:r>
          </w:p>
        </w:tc>
        <w:tc>
          <w:tcPr>
            <w:tcW w:w="259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Przezcewnikowa nieoperacyjna naprawa zastawki mitralnej u chorych wysokiego ryzyka - w ramach sieci kardiologicznej - § 13 ust. 2 rozporządzenia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5.54.01.0000069</w:t>
            </w:r>
          </w:p>
        </w:tc>
        <w:tc>
          <w:tcPr>
            <w:tcW w:w="55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Wariant 1 - przezcewnikowa nieoperacyjna naprawa zastawki mitralnej</w:t>
            </w:r>
          </w:p>
        </w:tc>
        <w:tc>
          <w:tcPr>
            <w:tcW w:w="54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Rozliczenie zgodnie z zasadami i na warunkach określonych w: 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1) rozporządzeniu ministra właściwego do spraw zdrowia w sprawie świadczeń gwarantowanych z zakresu leczenia szpitalnego,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2) zarządzeniu Prezesa NFZ w sprawie warunków zawierania i realizacji umów w rodzaju leczenie szpitalne oraz leczenie szpitalne – świadczenia wysokospecjalistyczne,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3) rozporządzeniu w sprawie programu pilotażowego opieki nad świadczeniobiorcą w ramach sieci kardiologicznej,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4) zarządzeniu Prezesa NFZ w sprawie programu pilotażowego opieki nad świadczeniobiorcą w ramach sieci kardiologicznej.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03.4603.033.02 </w:t>
            </w:r>
          </w:p>
        </w:tc>
        <w:tc>
          <w:tcPr>
            <w:tcW w:w="27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Przezskórne lub z innego dostępu wszczepianie zastawek serca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03.4603.333.02</w:t>
            </w:r>
          </w:p>
        </w:tc>
        <w:tc>
          <w:tcPr>
            <w:tcW w:w="25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Przezskórne lub z innego dostępu wszczepianie zastawek serca - w ramach sieci kardiologicznej - § 13 ust. 2 rozporządzenia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5.54.01.0000057</w:t>
            </w:r>
          </w:p>
        </w:tc>
        <w:tc>
          <w:tcPr>
            <w:tcW w:w="55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  <w:lang w:val="pl-PL" w:bidi="pl-PL" w:eastAsia="pl-PL"/>
              </w:rPr>
              <w:t>W</w:t>
            </w:r>
            <w:r>
              <w:rPr>
                <w:sz w:val="20"/>
              </w:rPr>
              <w:t>ariant 1 -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przeznaczyniowe (TF,TS) wszczepienie zastawki aortalnej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5.54.01.0000058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  <w:lang w:val="pl-PL" w:bidi="pl-PL" w:eastAsia="pl-PL"/>
              </w:rPr>
              <w:t>W</w:t>
            </w:r>
            <w:r>
              <w:rPr>
                <w:sz w:val="20"/>
              </w:rPr>
              <w:t>ariant 2 - przezkoniuszkowe (TA,TAA) wszczepienie zastawki aortalnej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03.4100.030.02 </w:t>
            </w:r>
          </w:p>
        </w:tc>
        <w:tc>
          <w:tcPr>
            <w:tcW w:w="27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Kardiologia – hospitalizacja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03.4100.020.02</w:t>
            </w:r>
          </w:p>
        </w:tc>
        <w:tc>
          <w:tcPr>
            <w:tcW w:w="25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Kardiologia – hospitalizacja - w ramach sieci kardiologicznej - § 13 ust. 2 rozporządzenia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5.51.01.0005043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E43 Ablacja zaburzeń rytmu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5.51.01.0005046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E46 Ablacja (prosta) zaburzeń rytmu z wykorzystaniem systemu elektroanatomicznego 3D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5.51.01.0005047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E47 Ablacja (złożona) zaburzeń rytmu z wykorzystaniem systemu elektroanatomicznego 3D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5.51.01.0005048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E48 Ablacja migotania przedsionków - izolacja żył płucnych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5.52.01.0001505</w:t>
            </w:r>
          </w:p>
        </w:tc>
        <w:tc>
          <w:tcPr>
            <w:tcW w:w="55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Ablacja u chorych z rozpoznaniem burzy elektrycznej 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5.51.01.0005033</w:t>
            </w:r>
          </w:p>
        </w:tc>
        <w:tc>
          <w:tcPr>
            <w:tcW w:w="55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E33 Wszczepienie/ wymiana układu z funkcją resynchronizującą serca (CRT)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5.51.01.0005034</w:t>
            </w:r>
          </w:p>
        </w:tc>
        <w:tc>
          <w:tcPr>
            <w:tcW w:w="55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E34 Wszczepienie/ wymiana kardiowertera-defibrylatora jedno-/ dwujamowego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5.51.01.0005102</w:t>
            </w:r>
          </w:p>
        </w:tc>
        <w:tc>
          <w:tcPr>
            <w:tcW w:w="5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E34G Wszczepienie lub wymiana całkowicie podskórnego kardiowertera-defibrylatora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5.51.01.0005036</w:t>
            </w:r>
          </w:p>
        </w:tc>
        <w:tc>
          <w:tcPr>
            <w:tcW w:w="55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E36 Wszczepienie/ wymiana CRT-D &gt; 17 r.ż.</w:t>
            </w:r>
          </w:p>
        </w:tc>
        <w:tc>
          <w:tcPr>
            <w:tcW w:w="54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0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2022-12-16T09:54:16Z</dcterms:created>
  <cp:lastModifiedBy>Popiołek Tomasz</cp:lastModifiedBy>
  <dcterms:modified xsi:type="dcterms:W3CDTF">2022-12-21T08:23:09Z</dcterms:modified>
  <cp:revision>21</cp:revision>
  <dc:subject>w sprawie programu pilotażowego dotyczącego opieki nad świadczeniobiorcą w ramach sieci kardiologicznej</dc:subject>
  <dc:title>Zarządzenie</dc:title>
</cp:coreProperties>
</file>