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E49557" Type="http://schemas.openxmlformats.org/officeDocument/2006/relationships/officeDocument" Target="/word/document.xml" /><Relationship Id="coreR2AE4955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22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17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15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4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przewlekłego wirusowego zapalenia wątroby typu B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, LAMIWUDYNA, ENTEKAWIR, ADEFOWIR,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zaawansowanego raka jelita grubego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BEWACYZUMAB, 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wątrobowokomórkowego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nerki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9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 xml:space="preserve">Leczenie przedwczesnego dojrzewania płciowego u dzieci  lub zagrażającej patologicznej niskorosłości na skutek szybko postępującego dojrzewania płciowego </w:t>
              <w:br w:type="textWrapping"/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24.3, G 24.4, </w:t>
              <w:br w:type="textWrapping"/>
              <w:t xml:space="preserve">G 24.5, G 51.3, </w:t>
              <w:br w:type="textWrapping"/>
              <w:t>G 24.8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INTERFERON BETA, OCTAN GLATIRAMERU,</w:t>
            </w:r>
          </w:p>
          <w:p>
            <w:pPr>
              <w:jc w:val="center"/>
            </w:pPr>
            <w:r>
              <w:rPr>
                <w:sz w:val="16"/>
              </w:rPr>
              <w:t>FUMARAN DIMETYLU, PEGINTERFERON BETA-1A, TERYFLUNOMID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reumatoidalnego zapalenia stawów i młodzieńczego idiopatycznego zapalenia stawów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 ETANERCEPT,  ADALIMUMAB,  RYTUKSYMAB, GOLIMUMAB, CERTOLIZUMAB PEGOL,TOCILIZUMAB, TOFACYTYNIB, BARICYTYNIB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 40.5, M 07.1, </w:t>
              <w:br w:type="textWrapping"/>
              <w:t>M 07.2, M 07.3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łuszczycowego zapalenia stawów (ŁZS)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aktywnej postaci zesztywniającego zapalenia stawów kręgosłupa (ZZSK)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4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4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hemodializowanych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CYNAKALCET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9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 07.2, P 07.3, P 27.1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22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4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45.0, J 82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ciężkiej astmy alergicznej IgE zależnej oraz ciężkiej astmy eozynofilowej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OMALIZUMAB, MEPOLIZUMAB, BENRALIZUMAB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9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B.46.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FINGOLIMOD, NATALIZUMAB, OKRELIZUMAB, KLADRYBINA, ALEMTUZUMAB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BEWACYZUMAB, 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00, C 01, C 02, C 03, C 04, C 05, C 05.0,  </w:t>
              <w:br w:type="textWrapping"/>
              <w:t xml:space="preserve">C 05.1, C 05.2, </w:t>
              <w:br w:type="textWrapping"/>
              <w:t xml:space="preserve">C 05.8, C 05.9, C 06, C 07, C 08, C 09, </w:t>
              <w:br w:type="textWrapping"/>
              <w:t>C 09.0, C 09.1,</w:t>
              <w:br w:type="textWrapping"/>
              <w:t xml:space="preserve"> C 09.8, C 09.9, C 10, </w:t>
              <w:br w:type="textWrapping"/>
              <w:t xml:space="preserve">C 10.0, C 10.1, </w:t>
              <w:br w:type="textWrapping"/>
              <w:t xml:space="preserve">C 10.2, C 10.3, </w:t>
              <w:br w:type="textWrapping"/>
              <w:t xml:space="preserve">C 10.4, C 10.8, </w:t>
              <w:br w:type="textWrapping"/>
              <w:t xml:space="preserve">C 10.9, C 12, C 13, </w:t>
              <w:br w:type="textWrapping"/>
              <w:t xml:space="preserve">C 13.0, C 13.1, </w:t>
              <w:br w:type="textWrapping"/>
              <w:t xml:space="preserve">C 13.2, C 13.8, </w:t>
              <w:br w:type="textWrapping"/>
              <w:t xml:space="preserve">C 13.9, C 14, C 32, C 32.0, </w:t>
              <w:br w:type="textWrapping"/>
              <w:t xml:space="preserve">C 32.1, C 32.2, </w:t>
              <w:br w:type="textWrapping"/>
              <w:t xml:space="preserve">C 32.3,  C32.8, C 32.9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płaskonabłonkowego raka narządów głowy i szyi </w:t>
              <w:br w:type="textWrapping"/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CETUKSYMAB,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16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zaawansowanego raka żołądka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TRASTUZUMAB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czerniaka skóry </w:t>
              <w:br w:type="textWrapping"/>
              <w:t>lub błon śluzowych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wczesnodziecięcą postać cystynozy nefropatycznej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D 80, w tym: D 80.0, D 80.1, D 80.3, D 80.4, D 80.5, D 80.6, D 80.8, D 80.9; D 81.9;</w:t>
              <w:br w:type="textWrapping"/>
              <w:t xml:space="preserve"> D 82 w tym: D 82.0, D 82.1, D 82.3, D 82.8, D 82.9;</w:t>
              <w:br w:type="textWrapping"/>
              <w:t>D 83 w tym: D 83.0, D 83.1, D 83.8, D 83.9; D 89.9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hormonem wzrostu niskorosłych dzieci urodzonych jako zbyt małe w porównaniu </w:t>
              <w:br w:type="textWrapping"/>
              <w:t xml:space="preserve">do czasu trwania ciąży </w:t>
              <w:br w:type="textWrapping"/>
              <w:t xml:space="preserve">(SGA lub IUGR)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G 61.8, G 62.8, </w:t>
              <w:br w:type="textWrapping"/>
              <w:t xml:space="preserve">G 63.1, G 70, </w:t>
              <w:br w:type="textWrapping"/>
              <w:t xml:space="preserve">G 04.8, G 73.1, </w:t>
              <w:br w:type="textWrapping"/>
              <w:t xml:space="preserve">G 73.2, G 72.4, </w:t>
              <w:br w:type="textWrapping"/>
              <w:t xml:space="preserve">G 61.0, G 36.0, </w:t>
              <w:br w:type="textWrapping"/>
              <w:t>M 33.0, M 33.1,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M 33.2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6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B.69.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parykalcytolem wtórnej nadczynności przytarczyc </w:t>
              <w:br w:type="textWrapping"/>
              <w:t>u pacjentów hemodializowanych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35.3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neowaskularnej (wysiękowej) postaci zwyrodnienia plamki związanego z wiekiem (AMD)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RANIBIZUMAB, BROLUCIZUMAB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wirusowego zapalenia wątroby typu C terapią bezinterferonową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LEDIPASWIR + SOFOSBUWIR,</w:t>
            </w:r>
          </w:p>
          <w:p>
            <w:pPr>
              <w:jc w:val="center"/>
            </w:pPr>
            <w:r>
              <w:rPr>
                <w:sz w:val="16"/>
              </w:rPr>
              <w:t>, ELBASWIR + GRAZOPREWIR,</w:t>
            </w:r>
          </w:p>
          <w:p>
            <w:pPr>
              <w:jc w:val="center"/>
            </w:pPr>
            <w:r>
              <w:rPr>
                <w:sz w:val="16"/>
              </w:rPr>
              <w:t>SOFOSBUWIR + WELPATASWIR, GLECAPREWIR + PIBRENTASWIR,</w:t>
            </w:r>
          </w:p>
          <w:p>
            <w:pPr>
              <w:jc w:val="center"/>
            </w:pPr>
            <w:r>
              <w:rPr>
                <w:sz w:val="16"/>
              </w:rPr>
              <w:t xml:space="preserve">RYBAWIRYNA, </w:t>
            </w:r>
          </w:p>
          <w:p>
            <w:pPr>
              <w:jc w:val="center"/>
            </w:pPr>
            <w:r>
              <w:rPr>
                <w:sz w:val="16"/>
              </w:rPr>
              <w:t>SOFOSBUVIR+WELPATASWIR+WOKSYLEPREWIR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I 27, I 27.0 i/lub </w:t>
              <w:br w:type="textWrapping"/>
              <w:t>I 26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Leczenie aktywnej postaci ziarniniakowatości z zapaleniem naczyń (GPA) lub mikroskopowego zapalenia naczyń (MPA) </w:t>
              <w:br w:type="textWrapping"/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9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Leczenie tyrozynemii typu 1</w:t>
              <w:br w:type="textWrapping"/>
              <w:t>(HT-1)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RUKSOLITYNIB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CERTOLIZUMAB PEGOL, ETANERCEPT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mielodysplastycznych o niskim lub pośrednim-1 ryzyku, związanych z nieprawidłowością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C 25.0, C 25.1, </w:t>
              <w:br w:type="textWrapping"/>
              <w:t xml:space="preserve">C 25.2, C 25.3, </w:t>
              <w:br w:type="textWrapping"/>
              <w:t xml:space="preserve">C 25.5, C 25.6, </w:t>
              <w:br w:type="textWrapping"/>
              <w:t xml:space="preserve">C 25.7, C 25.8, </w:t>
              <w:br w:type="textWrapping"/>
              <w:t>C 25.9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przerzutowym gruczolakorakiem trzustki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PAKLITAKSEL Z ALBUMINĄ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E 85, R 50.9, </w:t>
              <w:br w:type="textWrapping"/>
              <w:t>D 89.8, D 89.9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wrodzonych zespołów autozapalnych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Piksantron w leczeniu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PIKSANTRON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przewlekłą pierwotną małopłytkowość immunologiczną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oporną  i  nawrotową 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inhibitorami PCSK-9 pacjentów z zaburzeniami lipidowymi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ALIROKUMAB, EWOLOKUMAB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B.102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rdzeniowego zaniku mięśni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NUSINERSEN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przewlekłej pokrzywki spontanicznej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B.116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C53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szyjki macicy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BEWACYZUMAB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choroby Cushinga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B.120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H36.0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cukrzycowy obrzęk plamki (DME)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AFLIBERCEPT, BEWACYZUMAB, DEKSAMETAZON,</w:t>
            </w:r>
          </w:p>
          <w:p>
            <w:pPr>
              <w:jc w:val="center"/>
            </w:pPr>
            <w:r>
              <w:rPr>
                <w:sz w:val="16"/>
              </w:rPr>
              <w:t>RANIBIZUMAB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 młodzieży w wieku od 12 lat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6"/>
        </w:trPr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23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- technologia lekowa o wysokiej wartości klinicznej - technologia lekowa, o której mowa w art. 2 pkt 24a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2022-03-02T11:21:03Z</dcterms:created>
  <cp:lastModifiedBy>Mysińska Monika</cp:lastModifiedBy>
  <dcterms:modified xsi:type="dcterms:W3CDTF">2022-04-07T10:49:21Z</dcterms:modified>
  <cp:revision>269</cp:revision>
  <dc:subject>zmieniające zarządzenie w sprawie określenia warunków zawierania i realizacji umów w rodzaju leczenie szpitalne w zakresie programy lekowe</dc:subject>
  <dc:title>Zarządzenie Nr ..../2022/DGL</dc:title>
</cp:coreProperties>
</file>