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7E95A41" Type="http://schemas.openxmlformats.org/officeDocument/2006/relationships/officeDocument" Target="/word/document.xml" /><Relationship Id="coreR17E95A41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2 do zarządzenia Nr 43/2022/DGL</w:t>
        <w:br w:type="textWrapping"/>
        <w:t>Prezesa Narodowego Funduszu Zdrowia</w:t>
        <w:br w:type="textWrapping"/>
        <w:t>z dnia 7 kwietnia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ryczałtów za diagnostykę w programach lekowych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Lp.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Kod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Nazwa świadczenia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  <w:t>Ryczałt roczny</w:t>
              <w:br w:type="textWrapping"/>
              <w:t>(punkty)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21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1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2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3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4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5.08.08.0000001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przewlekłego WZW typu B lamiwudyną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2 595,84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5.08.08.0000002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przewlekłego WZW typu B interferonem alfa pegylowanym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3 731,52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5.08.08.0000004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przewlekłego WZW typu B adefowirem lub entekawirem, lub tenofowirem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2 433,60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5.08.08.0000009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raka wątrobowokomórkowego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3 706,00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5.08.08.0000011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niedrobnokomórkowego lub drobnokomórkowego raka płuca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3 927,00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5.08.08.0000013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mięsaków tkanek miękkich (trabektedyna)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3 665,60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5.08.08.0000068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mięsaków tkanek miękkich (pazopanib, sunitynib)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2 102,63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5.08.08.0000014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przerzutowego HER2+ raka piersi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3 273,00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5.08.08.0000015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neoadjuwantowego lub adjuwantowego HER2+ raka piersi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3 210,60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5.08.08.0000016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raka nerki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3 199,00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5.08.08.0000020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przewlekłą białaczkę szpikową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7 008,96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5.08.08.0000021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Diagnostyka w programie zapobiegania krwawieniom u dzieci z hemofilią A i B – lokalne centra leczenia hemofilii 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3 244,80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5.08.08.0000022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zapobiegania krwawieniom u dzieci z hemofilią A i B – regionalne centra leczenia hemofilii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5 408,00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5.08.08.0000024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pierwotnych niedoborów odporności u dzieci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2 633,70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5.08.08.0000025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przedwczesnego dojrzewania płciowego u dzieci lub zagrażającej patologicznej niskorosłości na skutek szybko postępującego dojrzewania płciowego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2 271,36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5.08.08.0000026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niskorosłych dzieci z somatotropinową niedoczynnością przysadki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486,72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13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5.08.08.0000027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niskorosłych dzieci z ciężkim pierwotnym niedoborem IGF-1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1 081,60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5.08.08.0000028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ciężkich wrodzonych hiperhomocysteinemii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3 352,96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5.08.08.0000029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choroby Pompego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1 973,92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5.08.08.0000030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choroby Gauchera typu I oraz typu III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1 460,16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5.08.08.0000031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choroby Hurlera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1 297,92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5.08.08.0000032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mukopolisacharydozy typu II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2 487,68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5.08.08.0000034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przewlekłych zakażeń płuc u świadczeniobiorców z mukowiscydozą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711,15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5.08.08.0000035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dystonii ogniskowych i połowiczego kurczu twarzy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324,48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5.08.08.0000036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stwardnienia rozsianego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1 671,00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5.08.08.0000037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spastyczności w mózgowym porażeniu dziecięcym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324,48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5.08.08.0000038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Diagnostyka w programie leczenia tętniczego nadciśnienia płucnego 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5 840,64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5.08.08.0000040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Diagnostyka w programie leczenia pacjentów z chorobą Leśniowskiego-Crohna 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2 920,32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5.08.08.0000042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aktywnej postaci reumatoidalnego zapalenia stawów i młodzieńczego idiopatycznego zapalenia stawów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778,75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5.08.08.0000044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aktywnej postaci łuszczycowego zapalenia stawów (ŁZS)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778,75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31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5.08.08.0000045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aktywnej postaci zesztywniającego zapalenia stawów kręgosłupa (ZZSK)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778,75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5.08.08.0000046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niedokrwistości w przebiegu przewlekłej niewydolności nerek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324,48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5.08.08.0000047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niskorosłych dzieci z przewlekłą niewydolność nerek (PNN) hormonem wzrostu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1 784,64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5.08.08.0000048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zespołu Prader – Willi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1 135,68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5.08.08.0000049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niskorosłych dzieci z zespołem Turnera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324,48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5.08.08.0000051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Diagnostyka w programie leczenia ciężkiej astmy alergicznej IgE zależnej oraz ciężkiej astmy eozynofilowej 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984,80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37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5.08.08.0000053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stwardnienia rozsianego po niepowodzeniu terapii lekami pierwszego rzutu lub szybko rozwijającej się ciężkiej postaci stwardnienia rozsianego lub pierwotnie postępującej postaci stwardnienia rozsianego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1 671,00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38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5.08.08.0000054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umiarkowanej i ciężkiej postaci łuszczycy plackowatej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778,75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39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5.08.08.0000060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wysokozróżnicowanego nowotworu neuroendokrynnego trzustki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1 610,60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5.08.08.0000061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szpiczaka plazmocytowego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3 350,00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41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5.08.08.0000062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Diagnostyka w programie leczenia pacjentów z wrzodziejącym zapaleniem jelita grubego (WZJG) 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865,28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5.08.08.0000063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opornego na kastrację raka gruczołu krokowego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2 758,08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43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5.08.08.0000065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zaawansowanego raka żołądka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5 478,00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44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5.08.08.0000088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czerniaka skóry lub błon śluzowych niwolumabem lub pembrolizumabem lub terapią skojarzoną niwolumabem z ipilimumabem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3 656,96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5.08.08.0000139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czerniaka skóry lub błon śluzowych terapią skojarzoną wemurafenibem z kobimetynibem albo dabrafenibem z trametynibem albo enkorafenibem z binimetynibem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5 757,00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46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5.08.08.0000070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pierwotnych niedoborów odporności (PNO) u pacjentów dorosłych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2 633,70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47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5.08.08.0000072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Diagnostyka w programie leczenia hormonem wzrostu niskorosłych dzieci urodzonych jako zbyt małe w porównaniu do czasu trwania ciąży (SGA lub IUGR) 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3 169,09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48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5.08.08.0000073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ostrą białaczkę limfoblastyczną (dazatynib, ponatynib, blinatumomab, inotuzumab ozogamycyny)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9 196,80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49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5.08.08.0000074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pierwotne chłoniaki skórne T – komórkowe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2 943,00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5.08.08.0000075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immunoglobulinami chorób neurologicznych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1 406,08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51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5.08.08.0000079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przewlekłego wirusowego zapalenia wątroby typu C terapią bezinterferonową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1 514,24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52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5.08.08.0000081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neurogennej nadreaktywności wypieracza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458,60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53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5.08.08.0000082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przewlekłego zakrzepowo-zatorowego nadciśnienia płucnego (CTEPH)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5 137,60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54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5.08.08.0000083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aktywnej postaci ziarniniakowatości z zapaleniem naczyń (GPA) lub mikroskopowego zapalenia naczyń (MPA)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1 050,23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55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5.08.08.0000084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tyrozynemii typu 1 (HT-1)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4 542,72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56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5.08.08.0000085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chłoniaki CD30+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3 861,00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5.08.08.0000087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przewlekłej białaczki limfocytowej obinutuzumabem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2 207,00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58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5.08.08.0000092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Diagnostyka w programie </w:t>
            </w:r>
            <w:r>
              <w:t>l</w:t>
            </w:r>
            <w:r>
              <w:rPr>
                <w:sz w:val="20"/>
              </w:rPr>
              <w:t>eczenia pacjentów z aktywną postacią spondyloartropatii (SpA) bez zmian radiograficznych charakterystycznych dla ZZSK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879,88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59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5.08.08.0000093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lenalidomid w leczeniu pacjentów z anemią zależną od przetoczeń w przebiegu zespołów mielodysplastycznych o niskim lub pośrednim-1 ryzyku, związanych z nieprawidłowością cytogenetyczną w postaci izolowanej delecji 5q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2 078,00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5.08.08.0000094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pacjentów z przerzutowym gruczolakorakiem trzustki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5 314,00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61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5.08.08.0000095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wrodzonych zespołów autozapalnych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1 375,80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62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5.08.08.0000096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idiopatycznego włóknienia płuc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1 676,48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63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5.08.08.0000097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zaawansowanego raka podstawnokomórkowego skóry wismodegibem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2 354,64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23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64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5.08.08.0000098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ewerolimusem chorych na stwardnienie guzowate z niekwalifikującymi się do leczenia operacyjnego guzami podwyściółkowymi olbrzymiokomórkowymi (SEGA)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2 704,00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65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5.08.08.0000099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zaburzeń motorycznych w przebiegu zaawansowanej choroby Parkinsona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324,48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66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5.08.08.0000101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przewlekłą białaczkę limfocytową ibrutynibem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2 598,00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67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5.08.08.0000102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piksantron w leczeniu chorych na chłoniaki złośliwe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 2 528,50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68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5.08.08.0000104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atypowego zespołu hemolityczno-mocznicowego (aHUS) – 1 rok terapii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6 021,33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69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5.08.08.0000105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atypowego zespołu hemolityczno-mocznicowego (aHUS) - 2 i kolejny rok terapii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1 997,33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5.08.08.0000106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nocnej napadowej hemoglobinurii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4 083,00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71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5.08.08.0000107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dorosłych chorych na pierwotną małopłytkowość immunologiczną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1 718,00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72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5.08.08.0000108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pediatrycznych chorych na przewlekłą pierwotną małopłytkowość immunologiczną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1 395,00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73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5.08.08.0000109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Diagnostyka w programie leczenia akromegalii 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2 388,00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60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74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5.08.08.0000110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oporną i nawrotową postać klasycznego chłoniaka Hodgkina z zastosowaniem niwolumabu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3 302,67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4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75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5.08.08.0000111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nowotworów podścieliska przewodu pokarmowego (GIST) - leczenie choroby rozsianej lub nieoperacyjnej - 1 rok terapii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3 216,00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6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76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5.08.08.0000112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nowotworów podścieliska przewodu pokarmowego (GIST) - leczenie choroby rozsianej lub nieoperacyjnej - 2 i kolejny rok terapii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2 245,00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77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5.08.08.0000113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nowotworów podścieliska przewodu pokarmowego (GIST) - leczenie adjuwantowe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1 480,00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78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5.08.08.0000114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zaawansowanego raka jelita grubego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3 579,50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79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5.08.08.0000115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chłoniaki złośliwe – 1 rok terapii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3 990,00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5.08.08.0000116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chłoniaki złośliwe – 2 i kolejny rok terapii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873,00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81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5.08.08.0000117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raka jajnika, raka jajowodu lub raka otrzewnej – bewacyzumab (1 i kolejny rok terapii), olaparyb (1 rok terapii), niraparyb (1 rok terapii)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4 282,40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82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5.08.08.0000118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raka jajnika, raka jajowodu lub raka otrzewnej – 2 i kolejne lata terapii olaparybem lub niraparybem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2 748,40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9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83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5.08.08.0000119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płaskonabłonkowego raka narządów głowy i szyi cetuksymabem – 1 rok terapii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2 203,00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07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84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5.08.08.0000120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płaskonabłonkowego raka narządów głowy i szyi cetuksymabem – 2 i kolejny rok terapii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937,00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85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5.08.08.0000121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mielofibrozy pierwotnej oraz mielofibrozy wtórnej w przebiegu czerwienicy prawdziwej i nadpłytkowości samoistnej – 1 rok terapii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790,00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3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86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5.08.08.0000122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mielofibrozy pierwotnej oraz mielofibrozy wtórnej w przebiegu czerwienicy prawdziwej i nadpłytkowości samoistnej – 2 i kolejny rok terapii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195,00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87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5.08.08.0000124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Diagnostyka w programie leczenia inhibitorami PCSK-9 pacjentów z zaburzeniami lipidowymi 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88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5.08.08.0000125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rdzeniowego zaniku mięśni – 1 rok terapii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 1 200,00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89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5.08.08.0000126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rdzeniowego zaniku mięśni – 2 i kolejny rok terapii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 600,00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90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5.08.08.0000127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przewlekłą białaczkę limfocytową wenetoklaksem – 1 rok terapii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3 242,00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1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91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5.08.08.0000128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przewlekłą białaczkę limfocytową wenetoklaksem – 2 i kolejny rok terapii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1 090,00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92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5.08.08.0000129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choroby Fabry’ego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2 493,00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1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93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5.08.08.0000130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zapalenia błony naczyniowej oka (ZBN) - część pośrednia, odcinek tylny lub cała błona naczyniowa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 2 574,00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94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5.08.08.0000131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raka piersi z zastosowaniem palbocyklibu lub rybocyklibu lub abemacyklibu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3 218,00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5.08.08.0000133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płaskonabłonkowego raka narządów głowy i szyi niwolumabem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2 956,00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96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5.08.08.0000134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profilaktyka reaktywacji wirusowego zapalenia wątroby typu b u świadczeniobiorców po przeszczepach lub u świadczeniobiorców otrzymujących leczenie związane z ryzykiem reaktywacji HBV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1 120,00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97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5.08.08.0000135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przewlekłej pokrzywki spontanicznej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375,00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98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5.08.08.0000136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agresywnego i objawowego, nieoperacyjnego, miejscowo zaawansowanego lub przerzutowego raka rdzeniastego tarczycy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3 744,00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99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5.08.08.0000137 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płaskonabłonkowego raka narządów głowy i szyi cetuksymabem w skojarzeniu z chemioterapią opartą na pochodnych platyny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3 404,00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5.08.08.0000138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uzupełniającego L-karnityną w wybranych chorobach metabolicznych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492,00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101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5.08.08.0000140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dinutuksymabem beta pacjentów z nerwiakiem zarodkowym współczulnym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9 781,00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102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5.08.08.0000141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ciężkiego niedoboru hormonu wzrostu u pacjentów dorosłych oraz u młodzieży po zakończeniu terapii promującej wzrastanie – 1 rok terapii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840,00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103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5.08.08.0000142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ciężkiego niedoboru hormonu wzrostu u pacjentów dorosłych oraz u młodzieży po zakończeniu terapii promującej wzrastanie – 2 i kolejny rok terapii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212,00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104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5.08.08.0000143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mukowiscydozę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637,00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105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5.08.08.0000144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pacjentów z chorobami nerek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975,00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106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5.08.08.0000145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ostrą białaczkę szpikową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3 375,51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107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5.08.08.0000146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agresywnej mastocytozy układowej, mastocytozy układowej z współistniejącym nowotworem układu krwiotwórczego oraz białaczki mastocytarnej – 1 rok terapii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3 331,51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108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5.08.08.0000147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agresywnej mastocytozy układowej, mastocytozy układowej z współistniejącym nowotworem układu krwiotwórczego oraz białaczki mastocytarnej – 2 i kolejny rok terapii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1 410,00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109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5.08.08.0000148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Diagnostyka w programie leczenia chorych na zaawansowanego raka szyjki macicy 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3 688,00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110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5.08.08.0000149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raka z komórek Merkla awelumabem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2 049,05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111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5.08.08.0000150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choroby Cushinga – 1 rok terapii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2 981,00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112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5.08.08.0000151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choroby Cushinga – 2 i kolejny rok terapii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1 595,50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113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5.08.08.0000152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pacjentów z postępującym, miejscowo zaawansowanym lub z przerzutami, zróżnicowanym (brodawkowatym/ pęcherzykowym/oksyfilnym - z komórek Hürthle’a) rakiem tarczycy, opornym na leczenie jodem radioaktywnym – 1 rok terapii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3 466,40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114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5.08.08.0000153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pacjentów z postępującym, miejscowo zaawansowanym lub z przerzutami, zróżnicowanym (brodawkowatym/ pęcherzykowym/oksyfilnym - z komórek Hürthle’a) rakiem tarczycy, opornym na leczenie jodem radioaktywnym – 2 i kolejny rok terapii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1 486,40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115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5.08.08.0000154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neowaskularnej (wysiękowej) postaci zwyrodnienia plamki związanego z wiekiem (AMD) – kwalifikacja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409,00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116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5.08.08.0000155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neowaskularnej (wysiękowej) postaci zwyrodnienia plamki związanego z wiekiem (AMD) – monitorowanie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205,00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117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5.08.08.0000156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cukrzycowy obrzęk plamki (DME) – kwalifikacja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409,00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118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5.08.08.0000157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cukrzycowy obrzęk plamki (DME) – monitorowanie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249,00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119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5.08.08.0000069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Diagnostyka w programie leczenia chorych na wczesnodziecięcą postać cystynozy nefropatycznej 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4 056,00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120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5.08.08.0000158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Diagnostyka w programie leczenie zapobiegawcze chorych z nawracającymi napadami dziedzicznego obrzęku naczynioruchowego o ciężkim przebiegu 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375,00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121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5.08.08.0000159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pacjentów z chorobą Wilsona - 1 rok terapii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1 572,50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122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5.08.08.0000160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pacjentów z chorobą Wilsona - 2 i kolejny rok terapii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568,50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123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5.08.08.0000161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Diagnostyka w programie lekowym leczenie chorych na ostrą białaczkę limfoblastyczną – monitorowanie terapii tisagenlecleucelem 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4780,00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124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5.08.08.0000162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amifamprydyną pacjentów z zespołem miastenicznym Lamberta-Eatona – 1 rok terapii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1 552,80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125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5.08.08.0000163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amifamprydyną pacjentów z zespołem miastenicznym Lamberta-Eatona – 2 i kolejny rok terapii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266,00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126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5.08.08.0000164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z ciężką postacią atopowego zapalenia skóry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358,00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127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5.08.08.0000165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zaawansowanego raka kolczystokomórkowego skóry cemiplimabem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1 622,00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128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5.08.08.0000166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pacjentów z autosomalnie dominującą postacią zwyrodnienia wielotorbielowatego nerek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974,6</w:t>
            </w:r>
            <w:r>
              <w:rPr>
                <w:sz w:val="20"/>
                <w:lang w:val="pl-PL" w:bidi="pl-PL" w:eastAsia="pl-PL"/>
              </w:rPr>
              <w:t>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129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5.08.08.0000167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dorosłych chorych na ciężką anemię aplastyczną – 1 rok terapii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7 548,53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130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5.08.08.0000168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dorosłych chorych na ciężką anemię aplastyczną – 2 i kolejny rok terapii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3 124,51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131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5.08.08.0000169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ostrą porfirię wątrobową (AHP) u dorosłych i  młodzieży w wieku od 12 lat – 1 rok terapii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1053,4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132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5.08.08.0000170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ostrą porfirię wątrobową (AHP) u dorosłych i  młodzieży w wieku od 12 lat – 2 i kolejny rok terapii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443,00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133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5.08.08.0000171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pierwotną hiperoksalurię typu 1 - 1 rok terapii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1 730,02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134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5.08.08.0000172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pierwotną hiperoksalurię typu 1 – 2 i kolejny rok terapii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532,00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135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5.08.08.0000173</w:t>
            </w:r>
          </w:p>
        </w:tc>
        <w:tc>
          <w:tcPr>
            <w:tcW w:w="104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z dystrofią mięśniową Duchenne’a spowodowaną mutacją nonsensowną w genie dystrofiny</w:t>
            </w:r>
          </w:p>
        </w:tc>
        <w:tc>
          <w:tcPr>
            <w:tcW w:w="20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225,00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superscript"/>
        </w:rPr>
        <w:t>1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Produkt rozliczany na zasadach opisanych w § 24 ust. 5 zarządzenia</w:t>
      </w: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2022-03-02T11:14:49Z</dcterms:created>
  <cp:lastModifiedBy>Mysińska Monika</cp:lastModifiedBy>
  <dcterms:modified xsi:type="dcterms:W3CDTF">2022-04-07T10:49:16Z</dcterms:modified>
  <cp:revision>273</cp:revision>
  <dc:subject>zmieniające zarządzenie w sprawie określenia warunków zawierania i realizacji umów w rodzaju leczenie szpitalne w zakresie programy lekowe</dc:subject>
  <dc:title>Zarządzenie Nr ..../2022/DGL</dc:title>
</cp:coreProperties>
</file>