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547CD0" Type="http://schemas.openxmlformats.org/officeDocument/2006/relationships/officeDocument" Target="/word/document.xml" /><Relationship Id="coreR3547CD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43/2022/DGL</w:t>
        <w:br w:type="textWrapping"/>
        <w:t>Prezesa Narodowego Funduszu Zdrowia</w:t>
        <w:br w:type="textWrapping"/>
        <w:t>z dnia 7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i zakresów – leczenie szpitalne – programy lekowe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403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6"/>
                <w:u w:val="none"/>
                <w:vertAlign w:val="baseline"/>
              </w:rPr>
              <w:t>kod</w:t>
              <w:br w:type="textWrapping"/>
              <w:t>świadczenia</w:t>
            </w:r>
          </w:p>
        </w:tc>
        <w:tc>
          <w:tcPr>
            <w:tcW w:w="97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5.08.07.0000001</w:t>
            </w:r>
          </w:p>
        </w:tc>
        <w:tc>
          <w:tcPr>
            <w:tcW w:w="112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5.08.07.0000002</w:t>
            </w:r>
          </w:p>
        </w:tc>
        <w:tc>
          <w:tcPr>
            <w:tcW w:w="12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5.08.07.0000003</w:t>
            </w:r>
          </w:p>
        </w:tc>
        <w:tc>
          <w:tcPr>
            <w:tcW w:w="12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5.08.07.0000024</w:t>
            </w:r>
          </w:p>
        </w:tc>
        <w:tc>
          <w:tcPr>
            <w:tcW w:w="12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5.08.07.0000025</w:t>
            </w:r>
          </w:p>
        </w:tc>
        <w:tc>
          <w:tcPr>
            <w:tcW w:w="12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5.08.07.0000004</w:t>
            </w:r>
          </w:p>
        </w:tc>
        <w:tc>
          <w:tcPr>
            <w:tcW w:w="12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5.08.07.0000018</w:t>
            </w:r>
          </w:p>
        </w:tc>
        <w:tc>
          <w:tcPr>
            <w:tcW w:w="12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5.08.07.0000021</w:t>
            </w:r>
          </w:p>
        </w:tc>
        <w:tc>
          <w:tcPr>
            <w:tcW w:w="168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5.08.07.0000026</w:t>
            </w:r>
          </w:p>
        </w:tc>
        <w:tc>
          <w:tcPr>
            <w:tcW w:w="13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5.08.07.0000023</w:t>
            </w:r>
          </w:p>
        </w:tc>
        <w:tc>
          <w:tcPr>
            <w:tcW w:w="123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5.08.07.0000009</w:t>
            </w:r>
          </w:p>
        </w:tc>
        <w:tc>
          <w:tcPr>
            <w:tcW w:w="186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5.08.07.0000027</w:t>
            </w:r>
          </w:p>
        </w:tc>
        <w:tc>
          <w:tcPr>
            <w:tcW w:w="231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5.08.07.0000028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035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nazwa świadczenia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hospitalizacja związana z wykonaniem programu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hospitalizacja związana z wykonaniem programu u dzieci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hospitalizacja w trybie jednodniowym związana z wykonaniem programu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hospitalizacja związana z podaniem nusinersenu w znieczuleniu ogólnym i pod kontrolą tomografii komputerowej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hospitalizacja związana z podaniem nusinersenu w znieczuleniu ogólnym lub pod kontrolą tomografii komputerowej.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przyjęcie pacjenta w trybie ambulatoryjnym związane z wykonaniem programu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przyjęcie pacjenta w trybie ambulatoryjnym połączone z podaniem iniekcji doszklistkowej w programie lekowym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przyjęcie pacjenta połączone z podaniem dichlorku radu Ra-223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przyjęcie pacjenta raz na 3 miesiące w trybie ambulatoryjnym związane z wykonaniem programu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kwalifikacja do leczenia w programie lekowym oraz weryfikacja jego skuteczności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w warunkach domowych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przyjęcie pacjenta w trybie ambulatoryjnym związane z podaniem toksyny botulinowej typu A pod kontrolą elektromiografii, stymulacji elektrycznej mięśnia i/lub ultrasonografii w leczeniu spastyczności kończyny górnej i/lub dolnej po udarze mózgu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hospitalizacja związana z podaniem leku u pacjentów z podejrzeniem lub potwierdzonym zakażeniem SARS-CoV-2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03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punktowa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486,72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540,80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486,72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900,00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678,72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108,16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378,56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600,00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324,48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338,00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koszt świadczenia zawarty w wycenie koncentratu czynnika krzepnięcia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378,56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Lp.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zakresu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Nazwa zakresu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03.0000.301.02 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przewlekłego wirusowego zapalenia wątroby typu B 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03.0000.303.02 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nowotworów podścieliska przewodu pokarmowego  (GIST)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03.0000.304.02 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zaawansowanego raka jelita grubego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03.0000.305.02 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raka wątrobowokomórkowego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03.0000.306.02 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niedrobnokomórkowego lub drobnokomórkowego raka płuca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03.0000.308.02 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mięsaków tkanek miękkich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03.0000.309.02 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raka piersi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03.0000.310.02 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raka nerki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03.0000.312.02 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chłoniaki złośliwe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03.0000.314.02 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przewlekłą białaczkę szpikową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11.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03.0000.315.02 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Zapobieganie krwawieniom u dzieci z hemofilią A i B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12.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03.0000.317.02 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pierwotnych niedoborów odporności u dzieci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13.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03.0000.318.02 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przedwczesnego dojrzewania płciowego u dzieci  lub zagrażającej patologicznej niskorosłości na skutek szybko postępującego dojrzewania płciowego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14.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03.0000.319.02 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niskorosłych dzieci z somatotropinową niedoczynnością  przysadki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15.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03.0000.320.02 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niskorosłych dzieci z ciężkim pierwotnym niedoborem IGF-1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16.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03.0000.321.02 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ciężkich wrodzonych hiperhomocysteinemii 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17.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03.0000.322.02 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choroby Pompego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18.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03.0000.323.02 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choroby Gauchera  typu I oraz typu III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19.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03.0000.324.02 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choroby Hurler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20.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03.0000.325.02 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mukopolisacharydozy typu II (zespół Huntera)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21.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03.0000.327.02 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przewlekłych zakażeń płuc u świadczeniobiorców z mukowiscydozą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22.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03.0000.328.02 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dystonii ogniskowych i połowiczego kurczu twarzy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23.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03.0000.329.02 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stwardnienia rozsianego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24.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03.0000.330.02 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spastyczności w mózgowym porażeniu dziecięcym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25.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03.0000.331.02 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tętniczego nadciśnienia płucnego (TNP)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26.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03.0000.332.02 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pacjentów z chorobą Leśniowskiego-Crohna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27.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03.0000.333.02 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aktywnej postaci reumatoidalnego zapalenia stawów i młodzieńczego idiopatycznego  zapalenia stawów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28.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03.0000.335.02 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aktywnej postaci łuszczycowego zapalenia stawów (ŁZS)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29.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03.0000.336.02 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aktywnej postaci zesztywniającego zapalenia stawów kręgosłupa (ZZSK) 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30.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03.0000.337.02 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niedokrwistości w przebiegu przewlekłej niewydolności nerek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31.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03.0000.338.02 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niskorosłych dzieci z przewlekłą niewydolnością nerek (PNN)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32.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03.0000.339.02 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wtórnej nadczynności przytarczyc u pacjentów hemodializowanych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33.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03.0000.340.02 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Profilaktyka zakażeń wirusem RS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34.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03.0000.341.02 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zespołu Prader - Willi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35.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03.0000.342.02 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niskorosłych dzieci z Zespołem Turnera (ZT)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36.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03.0000.344.02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ciężkiej astmy alergicznej IgE zależnej oraz ciężkiej astmy eozynofilowej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37.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03.0000.346.02 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stwardnienia rozsianego po niepowodzeniu terapii lekami pierwszego rzutu lub szybko rozwijającej się ciężkiej postaci stwardnienia rozsianego lub pierwotnie postępującej postaci stwardnienia rozsianego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38.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03.0000.347.02 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umiarkowanej i ciężkiej postaci łuszczycy plackowatej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39.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03.0000.350.02 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raka jajnika, raka jajowodu lub raka otrzewnej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40.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03.0000.352.02 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płaskonabłonkowego raka narządów głowy i szyi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41.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03.0000.353.02 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wysoko zróżnicowanego nowotworu neuroendokrynnego trzustki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42.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03.0000.354.02 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szpiczaka plazmocytowego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43.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03.0000.355.02 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pacjentów z wrzodziejącym zapaleniem jelita grubego (WZJG)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44.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03.0000.356.02 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opornego na kastrację raka gruczołu krokowego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45.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03.0000.357.02 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spastyczności kończyny górnej i/lub dolnej  po udarze mózgu z użyciem toksyny botulinowej typu A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46.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03.0000.358.02 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zaawansowanego raka żołądka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47.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03.0000.359.02 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czerniaka skóry lub błon śluzowych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48.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03.0000.361.02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wczesnodziecięcą postać cystynozy nefropatycznej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49.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03.0000.362.02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Leczenie pierwotnych niedoborów odporności (PNO) u pacjentów dorosłych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50.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03.0000.364.02 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51.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03.0000.365.02 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ostrą białaczkę limfoblastyczną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52.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03.0000.366.02 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pierwotne chłoniaki skórne T – komórkowe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53.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03.0000.367.02 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immunoglobulinami chorób neurologicznych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54.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03.0000.369.02 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parykalcytolem wtórnej nadczynności przytarczyc u pacjentów hemodializowanych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55.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03.0000.370.02 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neowaskularnej (wysiękowej) postaci zwyrodnienia plamki związanego z wiekiem (AMD)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56.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03.0000.371.02 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przewlekłego wirusowego zapalenia wątroby typu C terapią bezinterferonową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57.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03.0000.373.02 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neurogennej nadreaktywności wypieracza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58.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03.0000.374.02 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przewlekłego zakrzepowo-zatorowego nadciśnienia płucnego (CTEPH)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59.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03.0000.375.02 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aktywnej postaci ziarniniakowatości z zapaleniem naczyń (GPA) lub mikroskopowego zapalenia naczyń (MPA)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60.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03.0000.376.02 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tyrozynemii typu 1 (HT-1)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61.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03.0000.377.02 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chłoniaki CD30+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62.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03.0000.379.02 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przewlekłej białaczki limfocytowej obinutuzumabem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63.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03.0000.381.02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mielofibrozy pierwotnej oraz mielofibrozy wtórnej w przebiegu czerwienicy prawdziwej i nadpłytkowości samoistnej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64.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03.0000.382.02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65.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03.0000.384.02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Lenalidomid w leczeniu pacjentów z anemią zależną od przetoczeń w przebiegu zespołów mielodysplastycznych o niskim lub pośrednim-1 ryzyku, związanych z nieprawidłowością cytogenetyczną w postaci izolowanej delecji 5q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66.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03.0000.385.02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pacjentów z przerzutowym gruczolakorakiem trzustki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67.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03.0000.386.02 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wrodzonych zespołów autozapalnych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68.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03.0000.387.02 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idiopatycznego włóknienia płuc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69.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03.0000.388.02 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zaawansowanego raka podstawnokomórkowego skóry wismodegibem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70.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03.0000.389.02 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ewerolimusem chorych na stwardnienie guzowate z niekwalifikującymi się do leczenia operacyjnego guzami podwyściółkowymi olbrzymiokomórkowymi (SEGA)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71.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03.0000.390.02 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zaburzeń motorycznych w przebiegu zaawansowanej choroby Parkinsona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72.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03.0000.392.02 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przewlekłą białaczkę limfocytową ibrutynibem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73.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03.0000.393.02 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Piksantron w leczeniu chorych na chłoniaki złośliwe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74.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03.0000.395.02 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atypowego zespołu hemolityczno-mocznicowego (aHUS)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75.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03.0000.396.02 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nocnej napadowej hemoglobinurii (PNH)</w:t>
            </w:r>
            <w:r>
              <w:rPr>
                <w:sz w:val="16"/>
                <w:vertAlign w:val="superscript"/>
              </w:rPr>
              <w:t>1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76.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03.0000.397.02 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dorosłych chorych na pierwotną małopłytkowość immunologiczną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77.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03.0000.398.02 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pediatrycznych chorych na przewlekłą pierwotną małopłytkowość immunologiczną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78.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03.0000.399.02 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akromegalii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79.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03.0000.400.02 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oporną i nawrotową postać klasycznego chłoniaka Hodgkina z zastosowaniem niwolumabu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80.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03.0000.401.02 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inhibitorami PCSK-9 pacjentów z zaburzeniami lipidowymi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81.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03.0000.402.02 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rdzeniowego zaniku mięśni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82.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03.0000.403.02 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Leczenie chorych na przewlekłą białaczkę limfocytową wenetoklaksem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83.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03.0000.404.02 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choroby Fabry'ego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84.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03.0000.405.02 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zapalenia błony naczyniowej oka (ZBN) - część pośrednia, odcinek tylny lub cała błona naczyniowa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85.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03.0000.406.02 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86.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03.0000.407.02 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przewlekłej pokrzywki spontanicznej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87.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03.0000.408.02 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agresywnego i objawowego, nieoperacyjnego, miejscowo zaawansowanego lub przerzutowego raka rdzeniastego tarczycy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88.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03.0000.409.02 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uzupełniające L-karnityną w wybranych chorobach metabolicznych 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89.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03.0000.410.02 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dinutuksymabem beta pacjentów z nerwiakiem zarodkowym współczulnym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90.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03.0000.411.02 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91.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03.0000.412.02 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mukowiscydozę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92.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03.0000.413.02 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pacjentów z chorobami nerek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93.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03.0000.414.02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ostrą białaczkę szpikową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94.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03.0000.415.02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agresywnej mastocytozy układowej, mastocytozy układowej z współistniejącym nowotworem układu krwiotwórczego oraz białaczki mastocytarnej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95.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03.0000.416.02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zaawansowanego raka szyjki macicy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96.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03.0000.417.02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raka z komórek Merkla awelumabem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97.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03.0000.418.02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choroby Cushinga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98.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03.0000.419.02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pacjentów z postępującym, miejscowo zaawansowanym lub z przerzutami, zróżnicowanym (brodawkowatym/ pęcherzykowym/oksyfilnym - z komórek Hürthle’a) rakiem tarczycy, opornym na leczenie jodem radioaktywnym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99.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03.0000.420.02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cukrzycowy obrzęk plamki (DME)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100.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03.0000.421.02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amifamprydyną pacjentów z zespołem miastenicznym Lamberta-Eatona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101.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03.0000.422.02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102.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03.0000.423.02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pacjentów z chorobą Wilsona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103.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03.0000.424.02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z ciężką postacią atopowego zapalenia skóry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104.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03.0000.425.02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zaawansowanego raka kolczystokomórkowego skóry cemiplimabem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105.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03.0000.426.02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106.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03.0000.427.02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dorosłych chorych na ciężką anemię aplastyczną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107.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03.0000.428.02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ostrą porfirię wątrobową (AHP) u dorosłych i  młodzieży w wieku od 12 lat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108.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03.0000.429.02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na pierwotną hiperoksalurię typu 1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109.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03.0000.430.02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Leczenie chorych z dystrofią mięśniową Duchenne’a spowodowaną mutacją nonsensowną w genie dystrofiny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  <w:lang w:val="pl-PL" w:bidi="pl-PL" w:eastAsia="pl-PL"/>
              </w:rPr>
              <w:t>x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  <w:lang w:val="pl-PL" w:bidi="pl-PL" w:eastAsia="pl-PL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  <w:lang w:val="pl-PL" w:bidi="pl-PL" w:eastAsia="pl-PL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65"/>
        </w:trPr>
        <w:tc>
          <w:tcPr>
            <w:tcW w:w="4035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Uwagi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nie można łączyć ze świadczeniami rozliczanymi w zał. nr 1a, 1b, 1e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nie można łączyć ze świadczeniami rozliczanymi w zał. nr 1a, 1b, 1e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nie można łączyć ze świadczeniami rozliczanymi w zał. nr 1a, 1b, 1e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- rozliczane raz na 3 miesiące (-14 dni) u pacjentów, u których po kompleksowej ocenie stanu zdrowia możliwe jest wyznaczenie kolejnego terminu wizyty za 3 m-ce;</w:t>
              <w:br w:type="textWrapping"/>
              <w:t>- w okresie 3 miesięcy (-14 dni) od daty sprawozdania świadczenia o kodzie 5.08.07.0000026 nie dopuszcza się możliwości rozliczenia świadczenia o kodzie 5.08.07.0000001, 5.08.07.0000002, 5.08.07.0000003, 5.08.07.0000004;</w:t>
              <w:br w:type="textWrapping"/>
              <w:t>- nie można łączyć ze świadczeniami rozliczanymi w zał. nr 1a, 1b, 1e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nie można łączyć ze świadczeniami rozliczanymi w zał. nr 1a, 1b, 1e;</w:t>
              <w:br w:type="textWrapping"/>
              <w:t>w przypadku realizacji świadczenia o kodzie 03.0000.365.02 dotyczy tylko kwalifikacji do leczenia tisagenlecleucelem w programie lekowym leczenie chorych na ostrą białaczkę limfoblastyczną przez Zespół Koordynacyjny ds. CAR-T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- można łączyć ze świadczeniami z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 xml:space="preserve"> Katalogu leków refundowanych stosowanych w programach lekowych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w zakresie koncentratów czynników krzepnięcia                                                           </w:t>
              <w:br w:type="textWrapping"/>
              <w:t>- nie można łączyć ze świadczeniami rozliczanymi w zał. nr 1a, 1b, 1e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nie można łączyć ze świadczeniami rozliczanymi w zał. nr 1a, 1b, 1e;</w:t>
              <w:br w:type="textWrapping"/>
              <w:t>produkt możliwy do rozliczenia jedynie w przypadku zastosowania i wykazania do rozliczenia procedury zgodnie ze słownikiem ICD9: 89.394, 89.395 i/lub 88.793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-  za osobodzień;</w:t>
              <w:br w:type="textWrapping"/>
              <w:t>- dotyczy szpitali, w stosunku do  których właściwy organ wydał polecenie albo nałożył obowiązek na podstawie art. 10 ust. 2, art. 10d ust. 2, art. 11 ust. 1 i 4, art. 11h ust. 1-4 ustawy z dnia 2 marca 2020 r. o szczególnych rozwiązaniach związanych z zapobieganiem, przeciwdziałaniem i zwalczaniem COVID- 19, innych chorób zakaźnych oraz wywołanych nimi sytuacji kryzysowych (Dz. U. z 2020 r. poz. 142, z późn. zm.), tworzące tzw. system zabezpieczenia COVID-19 poprzez zapewnienie w tych szpitalach na:</w:t>
              <w:br w:type="textWrapping"/>
              <w:t xml:space="preserve">1) poziomie I – łóżek dla pacjentów z podejrzeniem zakażenia SARS-CoV-2; </w:t>
              <w:br w:type="textWrapping"/>
              <w:t>2) poziomie II – łóżek dla pacjentów z podejrzeniem lub potwierdzonym zakażeniem SARS-CoV-2, w tym łóżek intensywnej terapii, z kardiomonitorem oraz możliwością prowadzenia tlenoterapii i wentylacji mechanicznej;</w:t>
              <w:br w:type="textWrapping"/>
              <w:t>- można łączyć ze świadczeniami z katalogu 1m, 2t</w:t>
              <w:br w:type="textWrapping"/>
              <w:t>- można łączyć ze świadczeniami z załącznika nr 2 do Zarządzenia Nr 217/2021/DSOZ Prezesa Narodowego Funduszu Zdrowia z dnia 23 grudnia 2021 r. w sprawie zasad sprawozdawania oraz warunków rozliczania świadczeń opieki zdrowotnej związanych z zapobieganiem, przeciwdziałaniem i zwalczaniem COVID-19 z późn. zm.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  <w:lang w:val="pl-PL" w:bidi="pl-PL" w:eastAsia="pl-PL"/>
              </w:rPr>
              <w:t>- stosuje się do rozliczania świadczeń udzielanych do dnia 31 marca 2022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2022-03-02T11:12:00Z</dcterms:created>
  <cp:lastModifiedBy>Mysińska Monika</cp:lastModifiedBy>
  <dcterms:modified xsi:type="dcterms:W3CDTF">2022-04-07T10:49:14Z</dcterms:modified>
  <cp:revision>274</cp:revision>
  <dc:subject>zmieniające zarządzenie w sprawie określenia warunków zawierania i realizacji umów w rodzaju leczenie szpitalne w zakresie programy lekowe</dc:subject>
  <dc:title>Zarządzenie Nr ..../2022/DGL</dc:title>
</cp:coreProperties>
</file>