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CEAA5C4" Type="http://schemas.openxmlformats.org/officeDocument/2006/relationships/officeDocument" Target="/word/document.xml" /><Relationship Id="coreR2CEAA5C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pierwotną hiperoksalurię typu 1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chorych na pierwotną hiperoksalurię typu 1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Hiperoksaluria typu 1 (ICD-10: E74.8)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nefrologii lub nefrologii dziecięcej, lub chorób wewnętrznych, lub pediatrii metabolicznej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lekowego;</w:t>
            </w:r>
          </w:p>
          <w:p>
            <w:pPr>
              <w:jc w:val="left"/>
            </w:pPr>
            <w:r>
              <w:t>2) kwalifikacja do leczenia dokonywana jest w oparciu o wnioski przedłożone za pośrednictwem elektronicznego systemu monitorowania programów lekowych lub w oparciu o dokument, którego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  <w:r>
              <w:rPr>
                <w:b w:val="1"/>
                <w:sz w:val="24"/>
              </w:rPr>
              <w:t>Wzory dokumentów niezbędnych dla kwalifikacji pacjenta do terapii lumazyranem przez 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Wniosek o kwalifikację do leczenia w programie leczenia chorych na pierwotną hiperoksalurię typu 1 (ICD-10: E74.8)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Dane do kwalifikacji:</w:t>
            </w:r>
          </w:p>
          <w:p>
            <w:pPr>
              <w:jc w:val="both"/>
            </w:pPr>
            <w:r>
              <w:t>1.</w:t>
            </w:r>
            <w:r>
              <w:rPr>
                <w:sz w:val="24"/>
              </w:rPr>
              <w:t>Wiek pacjenta: ............................</w:t>
            </w:r>
          </w:p>
          <w:p>
            <w:pPr>
              <w:jc w:val="both"/>
            </w:pPr>
            <w:r>
              <w:t>2.</w:t>
            </w:r>
            <w:r>
              <w:rPr>
                <w:sz w:val="24"/>
              </w:rPr>
              <w:t>Wzrost:……………….</w:t>
            </w:r>
          </w:p>
          <w:p>
            <w:pPr>
              <w:jc w:val="both"/>
            </w:pPr>
            <w:r>
              <w:t>3.</w:t>
            </w:r>
            <w:r>
              <w:rPr>
                <w:sz w:val="24"/>
              </w:rPr>
              <w:t>Masa ciała: ………………</w:t>
            </w:r>
          </w:p>
          <w:p>
            <w:pPr>
              <w:jc w:val="both"/>
            </w:pPr>
            <w:r>
              <w:t>4.</w:t>
            </w:r>
            <w:r>
              <w:rPr>
                <w:sz w:val="24"/>
              </w:rPr>
              <w:t xml:space="preserve">Badanie przedmiotowe (można wprowadzić opis badania lub dołączyć skan opisu przeprowadzonych badań): </w:t>
            </w:r>
          </w:p>
          <w:p>
            <w:pPr>
              <w:jc w:val="both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both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both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both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  <w:p>
            <w:pPr>
              <w:jc w:val="both"/>
            </w:pPr>
            <w:r>
              <w:rPr>
                <w:sz w:val="24"/>
              </w:rPr>
              <w:t>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potwierdzenie choroby PH1 badaniem molekularnym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przewlekła choroba nerek w stadium I-III (eGFR&gt;30 ml/min/1,73m2)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średnie dobowe wydalanie szczawianów z moczem ≥0,70 mmol /1,73 m2/24h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brak efektywności terapii witaminą B6 (pirydoksyną) rozumianej jako redukcja dobowego wydalania szczawianów z moczem ≥ 30% w okresie co najmniej 3- miesięcznym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Badania </w:t>
            </w:r>
            <w:r>
              <w:t>(można wprowadzić wyniki badań lub dołączyć skan opisu przeprowadzonych badań):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Parametr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Wynik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DNA dla określenia mutacji genu AGXT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Badania biochemiczne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wydalanie szczawianów z moczem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kreatynina z oceną eGFR 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mocznik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kwas moczowy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białko całkowite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albumina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AST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ALT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sód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potas 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wapń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fosforany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chlorki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Układ krzepnięcia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protrombinowy (PT)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częściowej tromboplastyny po aktywacji (APTT)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międzynarodowy współczynnik znormalizowany (INR)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Gazometria krwi żylnej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PvCO</w:t>
            </w:r>
            <w:r>
              <w:rPr>
                <w:vertAlign w:val="subscript"/>
              </w:rPr>
              <w:t>2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HCO</w:t>
            </w:r>
            <w:r>
              <w:rPr>
                <w:vertAlign w:val="subscript"/>
              </w:rPr>
              <w:t>3</w:t>
            </w:r>
            <w:r>
              <w:t>¯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PvO</w:t>
            </w:r>
            <w:r>
              <w:rPr>
                <w:vertAlign w:val="subscript"/>
              </w:rPr>
              <w:t>2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ctCO</w:t>
            </w:r>
            <w:r>
              <w:rPr>
                <w:vertAlign w:val="subscript"/>
              </w:rPr>
              <w:t>2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SvO</w:t>
            </w:r>
            <w:r>
              <w:rPr>
                <w:vertAlign w:val="subscript"/>
              </w:rPr>
              <w:t>2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Morfologia krwi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krwinki białe (WBC)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 (RBC)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hemoglobina (HGB)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hematokryt (HCT)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średnia objętość krwinek czerwonych (MCV)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średnia zawartość hemoglobiny (MCH)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średnie stężenie hemoglobiny (MCHC)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RDW-SD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RDW-CV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trombocyty (PLT)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PDW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MPV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P-LCR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PCT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neutrofile (NEUT)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limfocyty (LYMPH)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monocyty (MONO)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eozynofile (EOS)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bazofile (BASO)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niedojrzałe granulocyty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neutrofile (NEUT)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limfocyty (LYMPH)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monocyty (MONO)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eozynofile (EOS)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bazofile (BASO)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niedojrzałe granulocyty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ogólne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barwa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przejrzystość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pH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ciężar właściwy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białko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glukoza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ciała ketonowe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albumina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bilirubina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azotyny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erytrocyty (w polu widzenia)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leukocyty (w polu widzenia)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HIV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HBV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badanie w kierunku HCV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4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USG układu moczowego</w:t>
            </w:r>
          </w:p>
        </w:tc>
        <w:tc>
          <w:tcPr>
            <w:tcW w:w="5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Przeciwwskazanie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eGFR &lt; 30 ml/min/1,73m2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klinicznie istotne nieprawidłowe wyniki badań laboratoryjnych (ALT i AST &gt; 2xULN; bilirubina całkowita &gt;1,5xULN; INR &gt; 1,5ULN)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zakażenie wirusem HIV lub WZW B lub WZW C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przeszczepienie nerki lub wątroby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nietolerancja wstrzyknięć podskórnych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Ciąża, karmienie piersią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odmowa stosowania antykoncepcji przez kobiety w wieku rozrodczym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historia nadużywania alkoholu w ciągu ostatnich 12 miesięcy lub niemożność lub niechęć do ograniczenia spożycia alkoholu w trakcie leczenia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 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w programie lekowym 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leczenia chorych na pierwotną hiperoksalurię typu 1: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2.1 ZAŁĄCZNIK DO WNIOSKU O </w:t>
            </w:r>
            <w:r>
              <w:rPr>
                <w:b w:val="1"/>
                <w:sz w:val="24"/>
              </w:rPr>
              <w:t>ZAKWALIFIKOWANIE PACJENTA DO LECZENIA W PROGRAMIE 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Wyrażam zgodę na przetwarzanie moich danych osobowych w celach wynikających z art. 188 oraz art. 188c ustawy o 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Mając powyższe na uwadze, wyrażam zgodę na leczenie lumazyranem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both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both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2022-04-05T09:11:56Z</dcterms:created>
  <cp:lastModifiedBy>Mysińska Monika</cp:lastModifiedBy>
  <dcterms:modified xsi:type="dcterms:W3CDTF">2022-04-07T10:49:28Z</dcterms:modified>
  <cp:revision>35</cp:revision>
  <dc:subject>zmieniające zarządzenie w sprawie określenia warunków zawierania i realizacji umów w rodzaju leczenie szpitalne w zakresie programy lekowe</dc:subject>
  <dc:title>Zarządzenie Nr ..../2022/DGL</dc:title>
</cp:coreProperties>
</file>