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74654D" Type="http://schemas.openxmlformats.org/officeDocument/2006/relationships/officeDocument" Target="/word/document.xml" /><Relationship Id="coreRE74654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3c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wymagane do zawarcia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11.1450.300.02 Koordynowana opieka nad osobami z całościowymi zaburzeniami rozwoju (KO-CZR)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1.1 WARUNKI WYMAGANE -  poradnia - zgodnie z obowiązującym rozporządzeniem Ministra Zdrowia w sprawie świadczeń gwarantowanych z zakresu opieki psychiatrycznej i leczenia uzależnień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1725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9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  z załącznikiem Nr 6 do rozporządzenia: Lp. 2  (Świadczenia psychiatryczne ambulatoryjne dla dzieci i młodzieży) lub Lp. 7 (Świadczenia dla osób z autyzmem dziecięcym lub innymi całościowymi zaburzeniami rozwoju)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1.3 WARUNKI WYMAGANE -  rehabilitacja - zgodnie z obowiązującym rozporządzeniem Ministra Zdrowia w sprawie świadczeń gwarantowanych z zakresu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1725" w:type="dxa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9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3 lit. b rozporządzenia w sprawie świadczeń gwarantowanych z zakresu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1.4 WARUNKI WYMAGANE - na podstawie art. 7 ustawy "Za życiem"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725" w:type="dxa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 1.4.1 Wymagania formalne i personel medyczny</w:t>
            </w:r>
          </w:p>
        </w:tc>
        <w:tc>
          <w:tcPr>
            <w:tcW w:w="13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1) posiadanie w strukturze organizacyjnej (wpis w rejestrze):</w:t>
              <w:br w:type="textWrapping"/>
              <w:t xml:space="preserve">   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  <w:lang w:val="pl-PL" w:bidi="pl-PL" w:eastAsia="pl-PL"/>
              </w:rPr>
              <w:t>p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oradnia zdrowia psychicznego dla dzieci lub</w:t>
              <w:br w:type="textWrapping"/>
              <w:t xml:space="preserve">   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  <w:lang w:val="pl-PL" w:bidi="pl-PL" w:eastAsia="pl-PL"/>
              </w:rPr>
              <w:t>p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oradnia dla osób z autyzmem dziecięcym</w:t>
              <w:br w:type="textWrapping"/>
              <w:t>2) zapewnienie:</w:t>
              <w:br w:type="textWrapping"/>
              <w:t xml:space="preserve">a) konsultacji specjalistycznych: </w:t>
              <w:br w:type="textWrapping"/>
              <w:t> - lekarzy specjalistów w dziedzinie neurologii dziecięcej, rehabilitacji medycznej, okulistyki, kardiologii dziecięcej,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otorynolaryngologii dziecięcej i/lub audiologii, gastroentrologii, endokrynologii wraz z niezbędnymi badaniami diagnostycznymi;</w:t>
              <w:br w:type="textWrapping"/>
              <w:t>b) rehabilitacji dzieci z zaburzeniami wieku rozwojowego w ośrodku/oddziale dziennym (w ramach własnej struktury lub podwykonawstwa);</w:t>
              <w:br w:type="textWrapping"/>
              <w:t>c) konsultacji specjalisty w dziedzinie genetyki klinicznej;</w:t>
              <w:br w:type="textWrapping"/>
              <w:t>d) badań obrazowych RM i TK z anestezją;</w:t>
              <w:br w:type="textWrapping"/>
              <w:t>e) badań EEG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17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1.4.2 Organizacja udzielania świadczeń</w:t>
            </w:r>
          </w:p>
        </w:tc>
        <w:tc>
          <w:tcPr>
            <w:tcW w:w="13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Harmonogram udzielania świadczeń w ramach opieki koordynowanej nie może ograniczać dostępności do świadczeń realizowanych w ramach innych umów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2022-10-18T15:47:58Z</dcterms:created>
  <cp:lastModifiedBy>Kociubowska Ewa</cp:lastModifiedBy>
  <dcterms:modified xsi:type="dcterms:W3CDTF">2022-10-26T12:29:20Z</dcterms:modified>
  <cp:revision>104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