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2C1" w:rsidRDefault="00267CB5">
      <w:pPr>
        <w:jc w:val="center"/>
        <w:rPr>
          <w:szCs w:val="20"/>
        </w:rPr>
      </w:pPr>
      <w:bookmarkStart w:id="0" w:name="_GoBack"/>
      <w:bookmarkEnd w:id="0"/>
      <w:r>
        <w:rPr>
          <w:b/>
          <w:szCs w:val="20"/>
        </w:rPr>
        <w:t>Uzasadnienie</w:t>
      </w:r>
    </w:p>
    <w:p w:rsidR="002D72C1" w:rsidRDefault="00267CB5">
      <w:pPr>
        <w:spacing w:before="120" w:after="120"/>
        <w:ind w:firstLine="227"/>
        <w:rPr>
          <w:szCs w:val="20"/>
        </w:rPr>
      </w:pPr>
      <w:r>
        <w:rPr>
          <w:szCs w:val="20"/>
        </w:rPr>
        <w:t>Zarządzenie zmieniające zarządzenie Nr 7/2020/DSOZ Prezesa Narodowego Funduszu Zdrowia z dnia 16 stycznia 2020 r. w sprawie określenia warunków zawierania i realizacji umów o udzielanie świadczeń opieki zdrowotnej w rodzaju opieka psychiatryczna i leczenia uzależnień, stanowi wykonanie upoważnienia ustawowego wynikającego z art. 146 ust. 1 i 2 ustawy z dnia 27 sierpnia 2004 r. o świadczeniach opieki zdrowotnej finansowanych ze środków publicznych (Dz. U. z 2020 r. poz. 1285, z późn. zm.).</w:t>
      </w:r>
    </w:p>
    <w:p w:rsidR="002D72C1" w:rsidRDefault="00267CB5">
      <w:pPr>
        <w:spacing w:before="120" w:after="120"/>
        <w:ind w:firstLine="227"/>
        <w:rPr>
          <w:szCs w:val="20"/>
        </w:rPr>
      </w:pPr>
      <w:r>
        <w:rPr>
          <w:szCs w:val="20"/>
        </w:rPr>
        <w:t>Zmiana wprowadzona w przepisie § 18 ust. 1 pkt 4a zarządzenia polega na zmianie w treści regulacji miejsca liczby wizyt środowiskowych z procentowym ich wykonaniem w stosunku do wymaganej liczby świadczeń do wykonania w ramach ryczałtu miesięcznego w zakresie ośrodka środowiskowej opieki psychologicznej i psychoterapeutycznej dla dzieci i młodzieży – I poziom referencyjny, zwanego dalej „ośrodkiem”. Powyższe ma na celu wyeliminowanie wątpliwości dotyczących obniżania wymaganej liczby świadczeń do realizacji w ramach ryczałtu miesięcznego, w przypadku udzielenia większej liczby świadczeń środowiskowych, niż jest to wymagane przepisami prawa.</w:t>
      </w:r>
    </w:p>
    <w:p w:rsidR="002D72C1" w:rsidRDefault="00267CB5">
      <w:pPr>
        <w:spacing w:before="120" w:after="120"/>
        <w:ind w:firstLine="227"/>
        <w:rPr>
          <w:szCs w:val="20"/>
        </w:rPr>
      </w:pPr>
      <w:r>
        <w:rPr>
          <w:szCs w:val="20"/>
        </w:rPr>
        <w:t xml:space="preserve">Niniejszym zarządzeniem wprowadza się także zmianę zasady dotyczącej zwrotu przez Świadczeniodawcę do Funduszu środków finansowych wynikających z różnicy przekazanych przez Fundusz środków w ramach ryczałtu miesięcznego a środkami wynikającymi z liczby zrealizowanych świadczeń.  </w:t>
      </w:r>
    </w:p>
    <w:p w:rsidR="002D72C1" w:rsidRDefault="00267CB5">
      <w:pPr>
        <w:spacing w:before="120" w:after="120"/>
        <w:ind w:firstLine="227"/>
        <w:rPr>
          <w:szCs w:val="20"/>
        </w:rPr>
      </w:pPr>
      <w:r>
        <w:rPr>
          <w:szCs w:val="20"/>
        </w:rPr>
        <w:t>Uchyla się możliwość obligatoryjnego rozłożenia na raty ww. należności, wprowadzając zasady wynikające z</w:t>
      </w:r>
      <w:r w:rsidR="00414AC4">
        <w:rPr>
          <w:szCs w:val="20"/>
        </w:rPr>
        <w:t> </w:t>
      </w:r>
      <w:r>
        <w:rPr>
          <w:szCs w:val="20"/>
        </w:rPr>
        <w:t xml:space="preserve"> art. 28 rozporządzenia Ministra Zdrowia z dnia 8 września 2015 r. w sprawie ogólnych warunków umów o</w:t>
      </w:r>
      <w:r w:rsidR="00414AC4">
        <w:rPr>
          <w:szCs w:val="20"/>
        </w:rPr>
        <w:t> </w:t>
      </w:r>
      <w:r>
        <w:rPr>
          <w:szCs w:val="20"/>
        </w:rPr>
        <w:t xml:space="preserve"> udzielanie świadczeń opieki zdrowotnej (Dz. U. z 2020 r. poz. 320, z późn. zm.). W związku z powyższą zmianą rezygnuje s</w:t>
      </w:r>
      <w:r w:rsidR="00414AC4">
        <w:rPr>
          <w:szCs w:val="20"/>
        </w:rPr>
        <w:t>i</w:t>
      </w:r>
      <w:r>
        <w:rPr>
          <w:szCs w:val="20"/>
        </w:rPr>
        <w:t>ę z regulacji dotyczących ewaluacji ryczałtu miesięcznego. Jednocześnie w zakresie §</w:t>
      </w:r>
      <w:r w:rsidR="00B4657B">
        <w:t> </w:t>
      </w:r>
      <w:r>
        <w:rPr>
          <w:szCs w:val="20"/>
        </w:rPr>
        <w:t xml:space="preserve">18 ust. 1 pkt 5 zdanie drugie reguluje się sposób rozliczania każdego miesiąca rozliczanego okresu rozliczeniowego. </w:t>
      </w:r>
    </w:p>
    <w:p w:rsidR="002D72C1" w:rsidRDefault="00267CB5">
      <w:pPr>
        <w:spacing w:before="120" w:after="120"/>
        <w:ind w:firstLine="227"/>
        <w:rPr>
          <w:szCs w:val="20"/>
        </w:rPr>
      </w:pPr>
      <w:r>
        <w:rPr>
          <w:szCs w:val="20"/>
        </w:rPr>
        <w:t>W związku z dotychczasowym sposobem realizacji świadczeń środowiskowych w zakresie ośrodka, modyfikuje się przepis §18 ust. 1 pkt 17 przez wykreślenie z treści przepisu wyjątku od niestosowania tego przepisu w stosunku do ww. świadczeń, przy czym przepisu nie stosuje się do świadczeń środowiskowych udzielonych pacjentom/rodzinie w środowisku domowym.</w:t>
      </w:r>
    </w:p>
    <w:p w:rsidR="002D72C1" w:rsidRDefault="00267CB5">
      <w:pPr>
        <w:spacing w:before="120" w:after="120"/>
        <w:ind w:firstLine="227"/>
        <w:rPr>
          <w:szCs w:val="20"/>
        </w:rPr>
      </w:pPr>
      <w:r>
        <w:rPr>
          <w:szCs w:val="20"/>
        </w:rPr>
        <w:t>W załączniku nr 1 - Katalog zakresów świadczeń do zarządzenia, zmieniono sposób rozliczania dodatkowego kosztu związanego z leczeniem</w:t>
      </w:r>
      <w:r w:rsidR="00414AC4">
        <w:rPr>
          <w:szCs w:val="20"/>
        </w:rPr>
        <w:t xml:space="preserve"> świadczeniobiorcy, w tym dziec</w:t>
      </w:r>
      <w:r>
        <w:rPr>
          <w:szCs w:val="20"/>
        </w:rPr>
        <w:t xml:space="preserve">i młodzieży, z potwierdzonym zakażaniem wirusem SARS-CoV-2. Ze względu na specyfikę systemu informatycznego Narodowego Funduszu Zdrowia wprowadzono wartość punktową świadczenia, która pozwoli na sprawozdanie i rozliczenie leczenia pacjenta z potwierdzonym zakażeniem wirusem. W związku z powyższym oraz z faktem, iż przedmiotowe produkty do stosowania zostały wprowadzone od 1 lipca 2021 r., wprowadza się możliwość ich rozliczenia według nowych taryf od daty początku ich wprowadzenia. </w:t>
      </w:r>
    </w:p>
    <w:p w:rsidR="002D72C1" w:rsidRDefault="00267CB5">
      <w:pPr>
        <w:spacing w:before="120" w:after="120"/>
        <w:ind w:firstLine="227"/>
        <w:rPr>
          <w:szCs w:val="20"/>
        </w:rPr>
      </w:pPr>
      <w:r>
        <w:rPr>
          <w:szCs w:val="20"/>
        </w:rPr>
        <w:t>Dodatkowo w przepisie § 1 pkt 4 niniejszego zarządzenia wprowadzono nowe brzmienie załącznika nr 2 do zarządzenia, stanowiącego wzór umowy o udzielanie świadczeń opieki zdrow</w:t>
      </w:r>
      <w:r w:rsidR="00414AC4">
        <w:rPr>
          <w:szCs w:val="20"/>
        </w:rPr>
        <w:t>otnej - opieka psychiatryczna i </w:t>
      </w:r>
      <w:r>
        <w:rPr>
          <w:szCs w:val="20"/>
        </w:rPr>
        <w:t xml:space="preserve">leczenie uzależnień. Przedmiotowa zmiana ma charakter porządkujący, w związku z czym nie została skierowania do publicznych konsultacji. </w:t>
      </w:r>
    </w:p>
    <w:p w:rsidR="002D72C1" w:rsidRDefault="00267CB5">
      <w:pPr>
        <w:spacing w:before="120" w:after="120"/>
        <w:ind w:firstLine="227"/>
        <w:rPr>
          <w:szCs w:val="20"/>
        </w:rPr>
      </w:pPr>
      <w:r>
        <w:rPr>
          <w:szCs w:val="20"/>
        </w:rPr>
        <w:t xml:space="preserve">Zarządzenie, zgodnie z § 3, wchodzi w życie z dniem następującym  po dniu podpisania. </w:t>
      </w:r>
    </w:p>
    <w:p w:rsidR="002D72C1" w:rsidRDefault="00267CB5">
      <w:pPr>
        <w:spacing w:before="120" w:after="120"/>
        <w:ind w:firstLine="227"/>
        <w:rPr>
          <w:color w:val="000000"/>
          <w:szCs w:val="20"/>
          <w:u w:color="000000"/>
        </w:rPr>
      </w:pPr>
      <w:r>
        <w:rPr>
          <w:szCs w:val="20"/>
        </w:rPr>
        <w:t xml:space="preserve">Powyższe działania zostały podjęte w ramach realizacji celu nr 2 Strategii Narodowego Funduszu Zdrowia na lata 2019-2023 – </w:t>
      </w:r>
      <w:r>
        <w:rPr>
          <w:i/>
          <w:color w:val="000000"/>
          <w:szCs w:val="20"/>
          <w:u w:color="000000"/>
        </w:rPr>
        <w:t>Poprawa jakości i dostępności świadczeń opieki zdrowotnej.</w:t>
      </w:r>
    </w:p>
    <w:p w:rsidR="002D72C1" w:rsidRDefault="00267CB5">
      <w:pPr>
        <w:spacing w:before="120" w:after="120"/>
        <w:ind w:firstLine="227"/>
        <w:rPr>
          <w:color w:val="000000"/>
          <w:szCs w:val="20"/>
          <w:u w:color="000000"/>
        </w:rPr>
      </w:pPr>
      <w:r>
        <w:rPr>
          <w:color w:val="000000"/>
          <w:szCs w:val="20"/>
          <w:u w:color="000000"/>
        </w:rPr>
        <w:t>Projekt zarządzenia Prezesa Narodowego Funduszu Zdrowia, zgodnie z art. 146 ust. 4 ustawy o świadczeniach oraz zgodnie z § 2 ust. 3 załącznika do rozporządzenia Ministra Zdrowia z dnia 8 września 2015 r. w sprawie ogólnych warunków umów o udzielanie świadczeń opieki zdrowotnej (Dz. U. 2020 r. poz. 320, z późn. zm.), został przedstawiony do konsultacji zewnętrznych.</w:t>
      </w:r>
    </w:p>
    <w:p w:rsidR="002D72C1" w:rsidRDefault="00267CB5">
      <w:pPr>
        <w:spacing w:before="120" w:after="120"/>
        <w:ind w:firstLine="227"/>
        <w:rPr>
          <w:color w:val="000000"/>
          <w:szCs w:val="20"/>
          <w:u w:color="000000"/>
        </w:rPr>
      </w:pPr>
      <w:r>
        <w:rPr>
          <w:color w:val="000000"/>
          <w:szCs w:val="20"/>
          <w:u w:color="000000"/>
        </w:rPr>
        <w:t xml:space="preserve">W ramach konsultacji opinię wyraziło 11 podmiotów, w tym 10 z nich zgłosiło uwagi do projektu zarządzenia. W ramach zgłoszonych uwag wnioskowano m.in. o wprowadzenie możliwości rozłożenia na raty zaległości wynikającej z realizacji świadczeń w zakresie ośrodka, zaliczenie świadczeń zrealizowanych w ośrodkach młodzieżowych do wskaźnika świadczeń środowiskowych, możliwość rozliczania produktów sprawozdawczych leczenia pacjentów z potwierdzonym zakażeniem wirusem SARS-CoV-2 od 1 lipca 2021 r. czy obniżenie procentu wymaganych świadczeń środowiskowych (domowych). Ponadto podniesiono aby </w:t>
      </w:r>
      <w:r w:rsidR="00414AC4">
        <w:rPr>
          <w:color w:val="000000"/>
          <w:szCs w:val="20"/>
          <w:u w:color="000000"/>
        </w:rPr>
        <w:t>zmniejszyć</w:t>
      </w:r>
      <w:r>
        <w:rPr>
          <w:color w:val="000000"/>
          <w:szCs w:val="20"/>
          <w:u w:color="000000"/>
        </w:rPr>
        <w:t xml:space="preserve"> liczbę </w:t>
      </w:r>
      <w:r>
        <w:rPr>
          <w:color w:val="000000"/>
          <w:szCs w:val="20"/>
          <w:u w:color="000000"/>
        </w:rPr>
        <w:lastRenderedPageBreak/>
        <w:t xml:space="preserve">wymaganych świadczeń w ramach ryczałtu miesięcznego, </w:t>
      </w:r>
      <w:r w:rsidR="00414AC4">
        <w:rPr>
          <w:color w:val="000000"/>
          <w:szCs w:val="20"/>
          <w:u w:color="000000"/>
        </w:rPr>
        <w:t>uzupełnić</w:t>
      </w:r>
      <w:r>
        <w:rPr>
          <w:color w:val="000000"/>
          <w:szCs w:val="20"/>
          <w:u w:color="000000"/>
        </w:rPr>
        <w:t xml:space="preserve"> uzasadnienie w zakresie dokonania zmiany przepisu dotyczącego rozliczania świadczeń środowiskowych (d</w:t>
      </w:r>
      <w:r w:rsidR="00414AC4">
        <w:rPr>
          <w:color w:val="000000"/>
          <w:szCs w:val="20"/>
          <w:u w:color="000000"/>
        </w:rPr>
        <w:t>omowych), a także doprecyzować</w:t>
      </w:r>
      <w:r>
        <w:rPr>
          <w:color w:val="000000"/>
          <w:szCs w:val="20"/>
          <w:u w:color="000000"/>
        </w:rPr>
        <w:t xml:space="preserve"> sposób zwrotu środków finansowych wynikających z różnicy przekazanych środków finansowych, a środkami finansowymi wynikającymi z liczby wykonanych świadczeń.  </w:t>
      </w:r>
    </w:p>
    <w:p w:rsidR="002D72C1" w:rsidRDefault="00267CB5">
      <w:pPr>
        <w:spacing w:before="120" w:after="120"/>
        <w:ind w:firstLine="227"/>
        <w:rPr>
          <w:color w:val="000000"/>
          <w:szCs w:val="20"/>
          <w:u w:color="000000"/>
        </w:rPr>
      </w:pPr>
      <w:r>
        <w:rPr>
          <w:color w:val="000000"/>
          <w:szCs w:val="20"/>
          <w:u w:color="000000"/>
        </w:rPr>
        <w:t xml:space="preserve">Zgłoszone uwagi zostały uwzględnione w części dotyczącej terminu obowiązywania produktów sprawozdawczych leczenia pacjentów z potwierdzonym zakażeniem wirusem SARS-CoV-2 oraz uzupełnienia uzasadnienia. Doprecyzowano także sposób zwrotu przez świadczeniodawcę środków finansowych w ramach rozliczania ryczałtu miesięcznego. </w:t>
      </w:r>
    </w:p>
    <w:sectPr w:rsidR="002D72C1">
      <w:footerReference w:type="default" r:id="rId6"/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295" w:rsidRDefault="00DA5295">
      <w:r>
        <w:separator/>
      </w:r>
    </w:p>
  </w:endnote>
  <w:endnote w:type="continuationSeparator" w:id="0">
    <w:p w:rsidR="00DA5295" w:rsidRDefault="00DA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2D72C1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  <w:vAlign w:val="bottom"/>
        </w:tcPr>
        <w:p w:rsidR="002D72C1" w:rsidRDefault="00267CB5" w:rsidP="00414AC4">
          <w:pPr>
            <w:jc w:val="left"/>
            <w:rPr>
              <w:sz w:val="18"/>
            </w:rPr>
          </w:pPr>
          <w:r>
            <w:rPr>
              <w:sz w:val="18"/>
            </w:rPr>
            <w:t>Id: C98D3E6B-CF2B-4D4E-8FFF-0CB22A023F62. 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  <w:vAlign w:val="bottom"/>
        </w:tcPr>
        <w:p w:rsidR="002D72C1" w:rsidRDefault="00267CB5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6E05D7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2D72C1" w:rsidRDefault="002D72C1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295" w:rsidRDefault="00DA5295">
      <w:r>
        <w:separator/>
      </w:r>
    </w:p>
  </w:footnote>
  <w:footnote w:type="continuationSeparator" w:id="0">
    <w:p w:rsidR="00DA5295" w:rsidRDefault="00DA5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267CB5"/>
    <w:rsid w:val="002D72C1"/>
    <w:rsid w:val="00414AC4"/>
    <w:rsid w:val="00606EF6"/>
    <w:rsid w:val="006857B2"/>
    <w:rsid w:val="006E05D7"/>
    <w:rsid w:val="00771725"/>
    <w:rsid w:val="009F3B25"/>
    <w:rsid w:val="00A77B3E"/>
    <w:rsid w:val="00B4657B"/>
    <w:rsid w:val="00CA1CF2"/>
    <w:rsid w:val="00CA2A55"/>
    <w:rsid w:val="00CE4B60"/>
    <w:rsid w:val="00DA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F65B14-83E3-4098-B935-3AE03D25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rsid w:val="00805BCE"/>
    <w:rPr>
      <w:vertAlign w:val="superscript"/>
    </w:rPr>
  </w:style>
  <w:style w:type="paragraph" w:styleId="Tekstprzypisudolnego">
    <w:name w:val="footnote text"/>
    <w:basedOn w:val="Normalny"/>
    <w:rsid w:val="00805BCE"/>
    <w:rPr>
      <w:sz w:val="20"/>
      <w:szCs w:val="20"/>
    </w:rPr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414A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14AC4"/>
    <w:rPr>
      <w:sz w:val="22"/>
      <w:szCs w:val="24"/>
    </w:rPr>
  </w:style>
  <w:style w:type="paragraph" w:styleId="Stopka">
    <w:name w:val="footer"/>
    <w:basedOn w:val="Normalny"/>
    <w:link w:val="StopkaZnak"/>
    <w:unhideWhenUsed/>
    <w:rsid w:val="00414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14AC4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4551</Characters>
  <Application>Microsoft Office Word</Application>
  <DocSecurity>4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Zarządzenie</vt:lpstr>
      <vt:lpstr/>
    </vt:vector>
  </TitlesOfParts>
  <Company>Prezes Narodowego Funduszu Zdrowia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w^sprawie określenia warunków zawierania i^realizacji umów o^udzielanie świadczeń opieki zdrowotnej w^rodzaju opieka psychiatryczna i^leczenie uzależnień</dc:subject>
  <dc:creator>ewa.kociubowska</dc:creator>
  <cp:lastModifiedBy>Popek Marta</cp:lastModifiedBy>
  <cp:revision>2</cp:revision>
  <dcterms:created xsi:type="dcterms:W3CDTF">2021-12-10T14:48:00Z</dcterms:created>
  <dcterms:modified xsi:type="dcterms:W3CDTF">2021-12-10T14:48:00Z</dcterms:modified>
  <cp:category>Akt prawny</cp:category>
</cp:coreProperties>
</file>