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211B41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9E709B">
            <w:pPr>
              <w:ind w:left="5669"/>
              <w:jc w:val="left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A77B3E" w:rsidRDefault="009E709B"/>
    <w:p w:rsidR="00A77B3E" w:rsidRDefault="009E709B">
      <w:pPr>
        <w:jc w:val="center"/>
        <w:rPr>
          <w:b/>
          <w:caps/>
          <w:szCs w:val="22"/>
        </w:rPr>
      </w:pPr>
      <w:r w:rsidRPr="004F2442">
        <w:rPr>
          <w:b/>
          <w:caps/>
          <w:szCs w:val="22"/>
        </w:rPr>
        <w:t xml:space="preserve">Zarządzenie </w:t>
      </w:r>
      <w:r w:rsidRPr="004F2442">
        <w:rPr>
          <w:b/>
          <w:bCs/>
          <w:szCs w:val="22"/>
        </w:rPr>
        <w:t xml:space="preserve">Nr </w:t>
      </w:r>
      <w:sdt>
        <w:sdtPr>
          <w:rPr>
            <w:b/>
            <w:bCs/>
            <w:szCs w:val="22"/>
          </w:rPr>
          <w:id w:val="-1452080779"/>
          <w:placeholder>
            <w:docPart w:val="7E2E574A72184B558E1EE083027A4FE4"/>
          </w:placeholder>
        </w:sdtPr>
        <w:sdtEndPr/>
        <w:sdtContent>
          <w:r>
            <w:rPr>
              <w:b/>
              <w:bCs/>
              <w:szCs w:val="22"/>
            </w:rPr>
            <w:t>198</w:t>
          </w:r>
        </w:sdtContent>
      </w:sdt>
      <w:r w:rsidRPr="004F2442">
        <w:rPr>
          <w:b/>
          <w:bCs/>
          <w:szCs w:val="22"/>
        </w:rPr>
        <w:t>/2021/</w:t>
      </w:r>
      <w:sdt>
        <w:sdtPr>
          <w:rPr>
            <w:b/>
            <w:bCs/>
            <w:szCs w:val="22"/>
          </w:rPr>
          <w:id w:val="845444643"/>
          <w:placeholder>
            <w:docPart w:val="6CB090BDA6B84DFEB16460D9EF582858"/>
          </w:placeholder>
        </w:sdtPr>
        <w:sdtEndPr/>
        <w:sdtContent>
          <w:r>
            <w:rPr>
              <w:b/>
              <w:bCs/>
              <w:szCs w:val="22"/>
            </w:rPr>
            <w:t>DSOZ</w:t>
          </w:r>
        </w:sdtContent>
      </w:sdt>
      <w:r w:rsidRPr="004F2442">
        <w:rPr>
          <w:b/>
          <w:caps/>
          <w:szCs w:val="22"/>
        </w:rPr>
        <w:br/>
        <w:t>Prezesa Narodowego Funduszu Zdrowia</w:t>
      </w:r>
    </w:p>
    <w:p w:rsidR="004F2442" w:rsidRPr="004F2442" w:rsidRDefault="009E709B">
      <w:pPr>
        <w:jc w:val="center"/>
        <w:rPr>
          <w:b/>
          <w:caps/>
          <w:szCs w:val="22"/>
        </w:rPr>
      </w:pPr>
    </w:p>
    <w:p w:rsidR="00A77B3E" w:rsidRDefault="009E709B" w:rsidP="004F2442">
      <w:pPr>
        <w:spacing w:line="360" w:lineRule="auto"/>
        <w:jc w:val="center"/>
        <w:rPr>
          <w:szCs w:val="22"/>
        </w:rPr>
      </w:pPr>
      <w:r w:rsidRPr="004F2442">
        <w:rPr>
          <w:szCs w:val="22"/>
        </w:rPr>
        <w:t xml:space="preserve">z dnia </w:t>
      </w:r>
      <w:bookmarkStart w:id="1" w:name="ezdDataPodpisu"/>
      <w:r w:rsidRPr="004F2442">
        <w:rPr>
          <w:szCs w:val="22"/>
        </w:rPr>
        <w:t>10.12.2021</w:t>
      </w:r>
      <w:bookmarkEnd w:id="1"/>
      <w:r w:rsidRPr="004F2442">
        <w:rPr>
          <w:szCs w:val="22"/>
        </w:rPr>
        <w:t xml:space="preserve"> r.</w:t>
      </w:r>
    </w:p>
    <w:p w:rsidR="004F2442" w:rsidRPr="004F2442" w:rsidRDefault="009E709B" w:rsidP="004F2442">
      <w:pPr>
        <w:spacing w:line="360" w:lineRule="auto"/>
        <w:jc w:val="center"/>
        <w:rPr>
          <w:rFonts w:eastAsia="Arial"/>
          <w:szCs w:val="22"/>
        </w:rPr>
      </w:pPr>
    </w:p>
    <w:p w:rsidR="00A77B3E" w:rsidRDefault="009E709B">
      <w:pPr>
        <w:keepNext/>
        <w:spacing w:after="480"/>
        <w:jc w:val="center"/>
      </w:pPr>
      <w:r>
        <w:rPr>
          <w:b/>
        </w:rPr>
        <w:t xml:space="preserve">zmieniające zarządzenie w sprawie określenia warunków zawierania i realizacji umów o udzielanie świadczeń opieki zdrowotnej w rodzaju opieka psychiatryczna </w:t>
      </w:r>
      <w:r>
        <w:rPr>
          <w:b/>
        </w:rPr>
        <w:t>i leczenie uzależnień</w:t>
      </w:r>
    </w:p>
    <w:p w:rsidR="00A77B3E" w:rsidRDefault="009E709B">
      <w:pPr>
        <w:keepLines/>
        <w:spacing w:before="120" w:after="120"/>
        <w:ind w:firstLine="227"/>
        <w:rPr>
          <w:color w:val="000000"/>
          <w:u w:color="000000"/>
        </w:rPr>
      </w:pPr>
      <w:r>
        <w:t>Na podstawie art. 102 ust. 5 pkt 21 i 25 oraz art. 146 ust. 1 ustawy z dnia 27 sierpnia 2004 r. o świadczeniach opieki zdrowotnej finansowanych ze środków publicznych (Dz. U. z 2021 r. poz. 1285, z późn. zm.</w:t>
      </w:r>
      <w:r>
        <w:rPr>
          <w:rStyle w:val="Odwoanieprzypisudolnego"/>
          <w:color w:val="000000"/>
          <w:sz w:val="20"/>
          <w:u w:color="000000"/>
        </w:rPr>
        <w:footnoteReference w:customMarkFollows="1" w:id="1"/>
        <w:t>1)</w:t>
      </w:r>
      <w:r>
        <w:rPr>
          <w:color w:val="000000"/>
          <w:u w:color="000000"/>
        </w:rPr>
        <w:t>) zarządza się, co następ</w:t>
      </w:r>
      <w:r>
        <w:rPr>
          <w:color w:val="000000"/>
          <w:u w:color="000000"/>
        </w:rPr>
        <w:t>uje:</w:t>
      </w:r>
    </w:p>
    <w:p w:rsidR="00A77B3E" w:rsidRDefault="009E709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W zarządzeniu Nr 7/2020/DSOZ Prezesa Narodowego Funduszu Zdrowia z dnia 16 stycznia 2020 r. w sprawie określenia warunków zawierania i realizacji umów o udzielanie świadczeń opieki zdrowotnej w rodzaju opieka psychiatryczna i leczenie uzależnień,</w:t>
      </w:r>
      <w:r>
        <w:rPr>
          <w:color w:val="000000"/>
          <w:u w:color="000000"/>
        </w:rPr>
        <w:t xml:space="preserve"> zmienionym zarządzeniem Nr 78/2020/DSOZ Prezesa Narodowego Funduszu Zdrowia z dnia 2 czerwca 2020 r., zarządzeniem Nr 204/2020/DSOZ Prezesa Narodowego Funduszu Zdrowia z dnia 21 grudnia 2020 r., zarządzeniem Nr 9/2021/DSOZ Prezesa Narodowego Funduszu Zdro</w:t>
      </w:r>
      <w:r>
        <w:rPr>
          <w:color w:val="000000"/>
          <w:u w:color="000000"/>
        </w:rPr>
        <w:t>wia z dnia 5 stycznia 2021 r., zarządzeniem Nr 101/2021/DSOZ Prezesa Narodowego Funduszu Zdrowia z dnia 9 czerwca 2021 r. oraz zarządzeniem Nr 119/2021/DSOZ Prezesa Narodowego Funduszu Zdrowia z dnia 28 czerwca 2021 r., wprowadza się następujące zmiany:</w:t>
      </w:r>
    </w:p>
    <w:p w:rsidR="00A77B3E" w:rsidRDefault="009E709B">
      <w:pPr>
        <w:spacing w:before="120" w:after="120"/>
        <w:ind w:left="340" w:hanging="227"/>
        <w:rPr>
          <w:color w:val="000000"/>
          <w:u w:color="000000"/>
        </w:rPr>
      </w:pPr>
      <w:r>
        <w:t>1)</w:t>
      </w:r>
      <w:r>
        <w:t> </w:t>
      </w:r>
      <w:r>
        <w:rPr>
          <w:color w:val="000000"/>
          <w:u w:color="000000"/>
        </w:rPr>
        <w:t>w § 18 w ust. 1:</w:t>
      </w:r>
    </w:p>
    <w:p w:rsidR="00A77B3E" w:rsidRDefault="009E709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pkt 4a otrzymuje brzmienie:             </w:t>
      </w:r>
    </w:p>
    <w:p w:rsidR="00A77B3E" w:rsidRDefault="009E709B">
      <w:pPr>
        <w:spacing w:before="120" w:after="120"/>
        <w:ind w:left="1020" w:hanging="340"/>
        <w:rPr>
          <w:color w:val="000000"/>
          <w:u w:color="000000"/>
        </w:rPr>
      </w:pPr>
      <w:r>
        <w:t>„4a) </w:t>
      </w:r>
      <w:r>
        <w:rPr>
          <w:color w:val="000000"/>
          <w:u w:color="000000"/>
        </w:rPr>
        <w:t xml:space="preserve">jeżeli w ramach ryczałtu miesięcznego udział wizyt, porad domowych lub środowiskowych, jest większy niż 15% świadczeń, o których mowa w pkt 4, do rozliczenia tych świadczeń stosuje się </w:t>
      </w:r>
      <w:r>
        <w:rPr>
          <w:color w:val="000000"/>
          <w:u w:color="000000"/>
        </w:rPr>
        <w:t>następujące zasady: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przypadku udzielenia co najmniej 82 wizyt, porad domowych lub środowiskowych (tj. 20% świadczeń) do rozliczenia ryczałtem miesięcznym liczba świadczeń ogółem wyniesie 385,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przypadku udzielenia co najmniej 103 wizyt, porad domo</w:t>
      </w:r>
      <w:r>
        <w:rPr>
          <w:color w:val="000000"/>
          <w:u w:color="000000"/>
        </w:rPr>
        <w:t>wych lub środowiskowych (tj. 25% świadczeń) do rozliczenia ryczałtem miesięcznym liczba świadczeń ogółem wyniesie 375,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w przypadku udzielenia co najmniej 124 wizyt, porad domowych lub środowiskowych (tj. 30% świadczeń) do rozliczenia ryczałtem miesięczn</w:t>
      </w:r>
      <w:r>
        <w:rPr>
          <w:color w:val="000000"/>
          <w:u w:color="000000"/>
        </w:rPr>
        <w:t>ym liczba świadczeń ogółem wyniesie 364,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w przypadku udzielenia co najmniej 144 wizyt, porad domowych lub środowiskowych (tj. 35% świadczeń) do rozliczenia ryczałtem miesięcznym liczba świadczeń ogółem wyniesie 353,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 przypadku udzielenia co najmniej</w:t>
      </w:r>
      <w:r>
        <w:rPr>
          <w:color w:val="000000"/>
          <w:u w:color="000000"/>
        </w:rPr>
        <w:t xml:space="preserve"> 165 wizyt, porad domowych lub środowiskowych (tj. 40% świadczeń) do rozliczenia ryczałtem miesięcznym liczba świadczeń ogółem wyniesie 342,</w:t>
      </w:r>
    </w:p>
    <w:p w:rsidR="00A77B3E" w:rsidRDefault="009E709B">
      <w:pPr>
        <w:keepLines/>
        <w:spacing w:before="120" w:after="120"/>
        <w:ind w:left="124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w przypadku udzielenia co najmniej 185 wizyt, porad domowych lub środowiskowych (tj. 45% świadczeń) do rozliczen</w:t>
      </w:r>
      <w:r>
        <w:rPr>
          <w:color w:val="000000"/>
          <w:u w:color="000000"/>
        </w:rPr>
        <w:t>ia ryczałtem miesięcznym liczba świadczeń ogółem wyniesie 332;</w:t>
      </w:r>
      <w:r>
        <w:t>”,</w:t>
      </w:r>
    </w:p>
    <w:p w:rsidR="00A77B3E" w:rsidRDefault="009E709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pkt 5 otrzymuje brzmienie:           </w:t>
      </w:r>
    </w:p>
    <w:p w:rsidR="00A77B3E" w:rsidRDefault="009E709B">
      <w:pPr>
        <w:spacing w:before="120" w:after="120"/>
        <w:ind w:left="1020" w:hanging="340"/>
        <w:rPr>
          <w:color w:val="000000"/>
          <w:u w:color="000000"/>
        </w:rPr>
      </w:pPr>
      <w:r>
        <w:t>„5) </w:t>
      </w:r>
      <w:r>
        <w:rPr>
          <w:color w:val="000000"/>
          <w:u w:color="000000"/>
        </w:rPr>
        <w:t>po każdym półroczu kalendarzowym, w którym udzielane były świadczenia, następuje rozliczenie poszczególnego ryczałtu miesięcznego zgodnie z zasada</w:t>
      </w:r>
      <w:r>
        <w:rPr>
          <w:color w:val="000000"/>
          <w:u w:color="000000"/>
        </w:rPr>
        <w:t>mi określonymi odpowiednio w pkt 4 albo w pkt 4a. W zależności od liczby zrealizowanych świadczeń w ramach ryczałtu, kwota wartości umowy w poszczególnych miesiącach rozliczanego półrocza kalendarzowego, o którym mowa w zdaniu pierwszym ulega proporcjonaln</w:t>
      </w:r>
      <w:r>
        <w:rPr>
          <w:color w:val="000000"/>
          <w:u w:color="000000"/>
        </w:rPr>
        <w:t>emu zmniejszeniu albo zwiększeniu;</w:t>
      </w:r>
      <w:r>
        <w:t>”,</w:t>
      </w:r>
    </w:p>
    <w:p w:rsidR="00A77B3E" w:rsidRDefault="009E709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c) </w:t>
      </w:r>
      <w:r>
        <w:rPr>
          <w:color w:val="000000"/>
          <w:u w:color="000000"/>
        </w:rPr>
        <w:t>pkt 6 otrzymuje brzmienie:         </w:t>
      </w:r>
    </w:p>
    <w:p w:rsidR="00A77B3E" w:rsidRDefault="009E709B">
      <w:pPr>
        <w:spacing w:before="120" w:after="120"/>
        <w:ind w:left="1020" w:hanging="340"/>
        <w:rPr>
          <w:color w:val="000000"/>
          <w:u w:color="000000"/>
        </w:rPr>
      </w:pPr>
      <w:r>
        <w:t>„6) </w:t>
      </w:r>
      <w:r>
        <w:rPr>
          <w:color w:val="000000"/>
          <w:u w:color="000000"/>
        </w:rPr>
        <w:t>w przypadku gdy w wyniku rozliczenia, o którym mowa w pkt 5 świadczeniodawca nie zrealizował w ramach ryczałtu miesięcznego wymaganej liczby świadczeń, o której mowa w pkt 4 al</w:t>
      </w:r>
      <w:r>
        <w:rPr>
          <w:color w:val="000000"/>
          <w:u w:color="000000"/>
        </w:rPr>
        <w:t>bo w pkt 4a, zwrot przez świadczeniodawcę do Funduszu kwoty wynikającej z różnicy pomiędzy przekazanymi środkami finansowymi a środkami finansowymi wynikającymi z liczby wykonanych świadczeń, następuje zgodnie z art. 28 ust. 1 i 2 Ogólnych warunków umów;</w:t>
      </w:r>
      <w:r>
        <w:t>”,</w:t>
      </w:r>
    </w:p>
    <w:p w:rsidR="00A77B3E" w:rsidRDefault="009E709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pkt 17 otrzymuje brzmienie:        </w:t>
      </w:r>
    </w:p>
    <w:p w:rsidR="00A77B3E" w:rsidRDefault="009E709B">
      <w:pPr>
        <w:spacing w:before="120" w:after="120"/>
        <w:ind w:left="1020" w:hanging="340"/>
        <w:rPr>
          <w:color w:val="000000"/>
          <w:u w:color="000000"/>
        </w:rPr>
      </w:pPr>
      <w:r>
        <w:t>„17) </w:t>
      </w:r>
      <w:r>
        <w:rPr>
          <w:color w:val="000000"/>
          <w:u w:color="000000"/>
        </w:rPr>
        <w:t>w przypadku więcej niż jednej wizyty lub porady domowej, lub porady środowiskowej w tym samym dniu i w jednym miejscu na rzecz więcej niż jednego świadczeniobiorcy, w szczególności w domu pomocy społecznej, młod</w:t>
      </w:r>
      <w:r>
        <w:rPr>
          <w:color w:val="000000"/>
          <w:u w:color="000000"/>
        </w:rPr>
        <w:t>zieżowym ośrodku wychowawczym, szkole, dla pierwszego świadczeniobiorcy sprawozdawana jest wizyta, porada domowa lub środowiskowa, a dla pozostałych świadczeniobiorców świadczenie zgodnie ze świadczeniem faktycznie im udzielonym;</w:t>
      </w:r>
      <w:r>
        <w:t>”;</w:t>
      </w:r>
    </w:p>
    <w:p w:rsidR="00A77B3E" w:rsidRDefault="009E709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 § 19a dodaje się §</w:t>
      </w:r>
      <w:r>
        <w:rPr>
          <w:color w:val="000000"/>
          <w:u w:color="000000"/>
        </w:rPr>
        <w:t xml:space="preserve"> 19b w brzmieniu:     </w:t>
      </w:r>
    </w:p>
    <w:p w:rsidR="00A77B3E" w:rsidRDefault="009E709B">
      <w:pPr>
        <w:keepLines/>
        <w:spacing w:before="120" w:after="120"/>
        <w:ind w:left="453" w:firstLine="227"/>
        <w:rPr>
          <w:color w:val="000000"/>
          <w:u w:color="000000"/>
        </w:rPr>
      </w:pPr>
      <w:r>
        <w:t>„§ 19b. </w:t>
      </w:r>
      <w:r>
        <w:rPr>
          <w:color w:val="000000"/>
          <w:u w:color="000000"/>
        </w:rPr>
        <w:t>Do rozliczenia świadczeń w ramach ryczałtu miesięcznego, udzielonych przez ośrodek środowiskowej opieki psychologicznej i psychoterapeutycznej dla dzieci i młodzieży, dla których okres rozliczeniowy kończy się z dniem 31 grud</w:t>
      </w:r>
      <w:r>
        <w:rPr>
          <w:color w:val="000000"/>
          <w:u w:color="000000"/>
        </w:rPr>
        <w:t>nia 2021 r., stosuje się przepis § 18 ust. 1 pkt 6.</w:t>
      </w:r>
      <w:r>
        <w:t>”;</w:t>
      </w:r>
    </w:p>
    <w:p w:rsidR="00A77B3E" w:rsidRDefault="009E709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załącznik nr 1 do zarządzenia otrzymuje brzmienie określone w załączniku nr 1 do niniejszego zarządzenia.   </w:t>
      </w:r>
    </w:p>
    <w:p w:rsidR="00A77B3E" w:rsidRDefault="009E709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załącznik nr 2 do zarządzenia otrzymuje brzmienie określone w załączniku nr 2 do niniej</w:t>
      </w:r>
      <w:r>
        <w:rPr>
          <w:color w:val="000000"/>
          <w:u w:color="000000"/>
        </w:rPr>
        <w:t>szego zarządzenia.   </w:t>
      </w:r>
    </w:p>
    <w:p w:rsidR="00A77B3E" w:rsidRPr="004F2442" w:rsidRDefault="009E709B">
      <w:pPr>
        <w:keepLines/>
        <w:spacing w:before="120" w:after="120"/>
        <w:ind w:firstLine="340"/>
        <w:rPr>
          <w:color w:val="000000"/>
          <w:szCs w:val="22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Załącznik nr 1, o którym mowa w § 1 pkt 3, w brzmieniu nadanym niniejszym zarządzeniem, stosuje się do rozliczania świadczeń opieki zdrowotnej udzielonych od dnia </w:t>
      </w:r>
      <w:r w:rsidRPr="004F2442">
        <w:rPr>
          <w:color w:val="000000"/>
          <w:szCs w:val="22"/>
          <w:u w:color="000000"/>
        </w:rPr>
        <w:t>1 lipca 2021 r.</w:t>
      </w:r>
    </w:p>
    <w:p w:rsidR="00A77B3E" w:rsidRPr="004F2442" w:rsidRDefault="009E709B">
      <w:pPr>
        <w:keepLines/>
        <w:spacing w:before="120" w:after="120"/>
        <w:ind w:firstLine="340"/>
        <w:rPr>
          <w:color w:val="000000"/>
          <w:szCs w:val="22"/>
          <w:u w:color="000000"/>
        </w:rPr>
      </w:pPr>
      <w:r w:rsidRPr="004F2442">
        <w:rPr>
          <w:b/>
          <w:szCs w:val="22"/>
        </w:rPr>
        <w:t>§ 3. </w:t>
      </w:r>
      <w:r w:rsidRPr="004F2442">
        <w:rPr>
          <w:color w:val="000000"/>
          <w:szCs w:val="22"/>
          <w:u w:color="000000"/>
        </w:rPr>
        <w:t xml:space="preserve">Zarządzenie wchodzi w życie z dniem </w:t>
      </w:r>
      <w:r w:rsidRPr="004F2442">
        <w:rPr>
          <w:color w:val="000000"/>
          <w:szCs w:val="22"/>
          <w:u w:color="000000"/>
        </w:rPr>
        <w:t>następującym po dniu podpisania.</w:t>
      </w:r>
    </w:p>
    <w:p w:rsidR="004F2442" w:rsidRPr="004F2442" w:rsidRDefault="009E709B" w:rsidP="004F2442">
      <w:pPr>
        <w:spacing w:line="360" w:lineRule="auto"/>
        <w:ind w:firstLine="709"/>
        <w:rPr>
          <w:rFonts w:eastAsia="Arial"/>
          <w:szCs w:val="22"/>
        </w:rPr>
      </w:pPr>
    </w:p>
    <w:p w:rsidR="004F2442" w:rsidRPr="004F2442" w:rsidRDefault="009E709B" w:rsidP="004F2442">
      <w:pPr>
        <w:tabs>
          <w:tab w:val="center" w:pos="7088"/>
        </w:tabs>
        <w:spacing w:line="360" w:lineRule="auto"/>
        <w:rPr>
          <w:b/>
          <w:bCs/>
          <w:szCs w:val="22"/>
        </w:rPr>
      </w:pPr>
      <w:r w:rsidRPr="004F2442">
        <w:rPr>
          <w:b/>
          <w:bCs/>
          <w:szCs w:val="22"/>
        </w:rPr>
        <w:tab/>
        <w:t>PREZES</w:t>
      </w:r>
    </w:p>
    <w:p w:rsidR="004F2442" w:rsidRPr="004F2442" w:rsidRDefault="009E709B" w:rsidP="004F2442">
      <w:pPr>
        <w:tabs>
          <w:tab w:val="center" w:pos="7088"/>
        </w:tabs>
        <w:spacing w:line="360" w:lineRule="auto"/>
        <w:rPr>
          <w:b/>
          <w:bCs/>
          <w:szCs w:val="22"/>
        </w:rPr>
      </w:pPr>
      <w:r w:rsidRPr="004F2442">
        <w:rPr>
          <w:b/>
          <w:bCs/>
          <w:szCs w:val="22"/>
        </w:rPr>
        <w:tab/>
        <w:t>NARODOWEGO FUNDUSZU ZDROWIA</w:t>
      </w:r>
    </w:p>
    <w:bookmarkStart w:id="2" w:name="ezdPracownikNazwa" w:displacedByCustomXml="next"/>
    <w:sdt>
      <w:sdtPr>
        <w:rPr>
          <w:rFonts w:ascii="Times New Roman" w:hAnsi="Times New Roman" w:cs="Times New Roman"/>
          <w:sz w:val="24"/>
          <w:szCs w:val="24"/>
        </w:rPr>
        <w:alias w:val="Podpis osoby uprawnionej"/>
        <w:tag w:val="podpis"/>
        <w:id w:val="-1147047840"/>
        <w:placeholder>
          <w:docPart w:val="410DAF702A23478385D2F93A14476EEF"/>
        </w:placeholder>
      </w:sdtPr>
      <w:sdtEndPr/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alias w:val="Podpis osoby uprawnionej"/>
            <w:tag w:val="podpis"/>
            <w:id w:val="1609692805"/>
            <w:placeholder>
              <w:docPart w:val="F39858038464403A8FC37AD7A859958B"/>
            </w:placeholder>
          </w:sdtPr>
          <w:sdtEndPr/>
          <w:sdtContent>
            <w:p w:rsidR="004F2442" w:rsidRPr="004F2442" w:rsidRDefault="009E709B" w:rsidP="004F2442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  <w:r w:rsidRPr="004F2442">
                <w:rPr>
                  <w:rFonts w:ascii="Times New Roman" w:hAnsi="Times New Roman" w:cs="Times New Roman"/>
                  <w:sz w:val="20"/>
                  <w:szCs w:val="24"/>
                </w:rPr>
                <w:t>Bernard Waśko</w:t>
              </w:r>
              <w:bookmarkEnd w:id="2"/>
            </w:p>
            <w:p w:rsidR="004F2442" w:rsidRPr="004F2442" w:rsidRDefault="009E709B" w:rsidP="004F2442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</w:p>
            <w:p w:rsidR="004F2442" w:rsidRPr="00AF3FAF" w:rsidRDefault="009E709B" w:rsidP="004F2442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i/>
                  <w:sz w:val="20"/>
                  <w:szCs w:val="24"/>
                </w:rPr>
              </w:pPr>
              <w:r>
                <w:rPr>
                  <w:rFonts w:ascii="Times New Roman" w:hAnsi="Times New Roman" w:cs="Times New Roman"/>
                  <w:sz w:val="20"/>
                  <w:szCs w:val="24"/>
                </w:rPr>
                <w:t xml:space="preserve">W zastępstwie </w:t>
              </w:r>
              <w:r w:rsidRPr="004F2442">
                <w:rPr>
                  <w:rFonts w:ascii="Times New Roman" w:hAnsi="Times New Roman" w:cs="Times New Roman"/>
                  <w:sz w:val="20"/>
                  <w:szCs w:val="24"/>
                </w:rPr>
                <w:t>Prezes</w:t>
              </w:r>
              <w:r>
                <w:rPr>
                  <w:rFonts w:ascii="Times New Roman" w:hAnsi="Times New Roman" w:cs="Times New Roman"/>
                  <w:sz w:val="20"/>
                  <w:szCs w:val="24"/>
                </w:rPr>
                <w:t>a</w:t>
              </w:r>
              <w:r w:rsidRPr="004F2442">
                <w:rPr>
                  <w:rFonts w:ascii="Times New Roman" w:hAnsi="Times New Roman" w:cs="Times New Roman"/>
                  <w:sz w:val="20"/>
                  <w:szCs w:val="24"/>
                </w:rPr>
                <w:t xml:space="preserve"> Narodowego Funduszu Zdrowia</w:t>
              </w:r>
              <w:r w:rsidRPr="004F2442">
                <w:rPr>
                  <w:rFonts w:ascii="Times New Roman" w:hAnsi="Times New Roman" w:cs="Times New Roman"/>
                  <w:sz w:val="20"/>
                  <w:szCs w:val="24"/>
                </w:rPr>
                <w:br/>
              </w:r>
              <w:r w:rsidRPr="004F2442">
                <w:rPr>
                  <w:rFonts w:ascii="Times New Roman" w:hAnsi="Times New Roman" w:cs="Times New Roman"/>
                  <w:i/>
                  <w:sz w:val="20"/>
                  <w:szCs w:val="24"/>
                </w:rPr>
                <w:t>/Dokument podpisano elektronicznie/</w:t>
              </w:r>
            </w:p>
          </w:sdtContent>
        </w:sdt>
      </w:sdtContent>
    </w:sdt>
    <w:p w:rsidR="004F2442" w:rsidRPr="002978BA" w:rsidRDefault="009E709B" w:rsidP="004F2442">
      <w:pPr>
        <w:tabs>
          <w:tab w:val="center" w:pos="7088"/>
        </w:tabs>
        <w:spacing w:line="360" w:lineRule="auto"/>
        <w:rPr>
          <w:rFonts w:ascii="Arial" w:hAnsi="Arial"/>
          <w:b/>
          <w:bCs/>
          <w:sz w:val="24"/>
        </w:rPr>
      </w:pPr>
    </w:p>
    <w:p w:rsidR="00312843" w:rsidRDefault="009E709B" w:rsidP="00443574">
      <w:pPr>
        <w:keepNext/>
        <w:spacing w:before="120" w:after="120" w:line="360" w:lineRule="auto"/>
        <w:jc w:val="left"/>
        <w:rPr>
          <w:color w:val="000000"/>
          <w:szCs w:val="20"/>
          <w:u w:color="000000"/>
        </w:rPr>
      </w:pPr>
    </w:p>
    <w:sectPr w:rsidR="00312843" w:rsidSect="00443574">
      <w:footerReference w:type="default" r:id="rId6"/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E709B">
      <w:r>
        <w:separator/>
      </w:r>
    </w:p>
  </w:endnote>
  <w:endnote w:type="continuationSeparator" w:id="0">
    <w:p w:rsidR="00000000" w:rsidRDefault="009E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11B41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312843" w:rsidRDefault="009E709B" w:rsidP="004F2442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C98D3E6B-CF2B-4D4E-8FFF-0CB22A023F62. 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  <w:vAlign w:val="bottom"/>
        </w:tcPr>
        <w:p w:rsidR="00312843" w:rsidRDefault="009E709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312843" w:rsidRDefault="009E709B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D99" w:rsidRDefault="009E709B">
      <w:r>
        <w:separator/>
      </w:r>
    </w:p>
  </w:footnote>
  <w:footnote w:type="continuationSeparator" w:id="0">
    <w:p w:rsidR="00D27D99" w:rsidRDefault="009E709B">
      <w:r>
        <w:continuationSeparator/>
      </w:r>
    </w:p>
  </w:footnote>
  <w:footnote w:id="1">
    <w:p w:rsidR="00312843" w:rsidRDefault="009E709B">
      <w:pPr>
        <w:pStyle w:val="Tekstprzypisudolnego"/>
        <w:keepLines/>
        <w:ind w:left="170" w:hanging="170"/>
      </w:pPr>
      <w:r>
        <w:rPr>
          <w:rStyle w:val="Odwoanieprzypisudolnego"/>
        </w:rPr>
        <w:t>1) </w:t>
      </w:r>
      <w:r>
        <w:t>Zmiany tekstu jednolitego wymienionej ustawy zostały ogłoszone w Dz.U. z 2021 r. poz. 1292, 1559, 2217, 1773, 1834 i 2120.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41"/>
    <w:rsid w:val="00211B41"/>
    <w:rsid w:val="009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4A99F1-B7DA-4A4A-8C3E-653F550D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4F2442"/>
    <w:rPr>
      <w:color w:val="808080"/>
    </w:rPr>
  </w:style>
  <w:style w:type="paragraph" w:styleId="Bezodstpw">
    <w:name w:val="No Spacing"/>
    <w:uiPriority w:val="1"/>
    <w:qFormat/>
    <w:rsid w:val="004F2442"/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Nagwek">
    <w:name w:val="header"/>
    <w:basedOn w:val="Normalny"/>
    <w:link w:val="NagwekZnak"/>
    <w:unhideWhenUsed/>
    <w:rsid w:val="004F2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2442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4F2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2442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2E574A72184B558E1EE083027A4F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BA0F2D-C252-4B91-9DAC-044181EF3AE7}"/>
      </w:docPartPr>
      <w:docPartBody>
        <w:p w:rsidR="00B53B35" w:rsidRDefault="00000000" w:rsidP="000E7A76">
          <w:pPr>
            <w:pStyle w:val="7E2E574A72184B558E1EE083027A4FE4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6CB090BDA6B84DFEB16460D9EF5828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018CD2-250E-4658-B32D-406B9195C208}"/>
      </w:docPartPr>
      <w:docPartBody>
        <w:p w:rsidR="00B53B35" w:rsidRDefault="00000000" w:rsidP="000E7A76">
          <w:pPr>
            <w:pStyle w:val="6CB090BDA6B84DFEB16460D9EF582858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410DAF702A23478385D2F93A14476E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12DCBB-5C51-45C0-BCD9-328208440178}"/>
      </w:docPartPr>
      <w:docPartBody>
        <w:p w:rsidR="000E7A76" w:rsidRDefault="000E7A76" w:rsidP="004245C3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B53B35" w:rsidRDefault="00B53B35"/>
      </w:docPartBody>
    </w:docPart>
    <w:docPart>
      <w:docPartPr>
        <w:name w:val="F39858038464403A8FC37AD7A85995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30096D-72D9-438A-936F-BDD63389145C}"/>
      </w:docPartPr>
      <w:docPartBody>
        <w:p w:rsidR="000E7A76" w:rsidRDefault="000E7A76" w:rsidP="004245C3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B53B35" w:rsidRDefault="00B53B3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7A76"/>
    <w:rPr>
      <w:color w:val="808080"/>
    </w:rPr>
  </w:style>
  <w:style w:type="paragraph" w:customStyle="1" w:styleId="7E2E574A72184B558E1EE083027A4FE4">
    <w:name w:val="7E2E574A72184B558E1EE083027A4FE4"/>
    <w:rsid w:val="000E7A76"/>
  </w:style>
  <w:style w:type="paragraph" w:customStyle="1" w:styleId="6CB090BDA6B84DFEB16460D9EF582858">
    <w:name w:val="6CB090BDA6B84DFEB16460D9EF582858"/>
    <w:rsid w:val="000E7A76"/>
  </w:style>
  <w:style w:type="paragraph" w:styleId="Bezodstpw">
    <w:name w:val="No Spacing"/>
    <w:uiPriority w:val="1"/>
    <w:qFormat/>
    <w:rsid w:val="000E7A76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określenia warunków zawierania i^realizacji umów o^udzielanie świadczeń opieki zdrowotnej w^rodzaju opieka psychiatryczna i^leczenie uzależnień</dc:subject>
  <dc:creator>ewa.kociubowska</dc:creator>
  <cp:lastModifiedBy>Popek Marta</cp:lastModifiedBy>
  <cp:revision>2</cp:revision>
  <dcterms:created xsi:type="dcterms:W3CDTF">2021-12-10T14:48:00Z</dcterms:created>
  <dcterms:modified xsi:type="dcterms:W3CDTF">2021-12-10T14:48:00Z</dcterms:modified>
  <cp:category>Akt prawny</cp:category>
</cp:coreProperties>
</file>