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F66" w:rsidRPr="00B60F66" w:rsidRDefault="00D13426" w:rsidP="00B60F66">
      <w:pPr>
        <w:jc w:val="center"/>
        <w:rPr>
          <w:b/>
          <w:caps/>
        </w:rPr>
      </w:pPr>
      <w:bookmarkStart w:id="0" w:name="_GoBack"/>
      <w:bookmarkEnd w:id="0"/>
      <w:r w:rsidRPr="00B60F66">
        <w:rPr>
          <w:b/>
          <w:caps/>
        </w:rPr>
        <w:t xml:space="preserve">ZARZĄDZENIE Nr </w:t>
      </w:r>
      <w:sdt>
        <w:sdtPr>
          <w:rPr>
            <w:b/>
            <w:caps/>
          </w:rPr>
          <w:id w:val="-1452080779"/>
          <w:placeholder>
            <w:docPart w:val="2E4119F68E5C4BFF81856579945B1B5E"/>
          </w:placeholder>
        </w:sdtPr>
        <w:sdtEndPr/>
        <w:sdtContent>
          <w:r>
            <w:rPr>
              <w:b/>
              <w:caps/>
            </w:rPr>
            <w:t>196</w:t>
          </w:r>
        </w:sdtContent>
      </w:sdt>
      <w:r w:rsidRPr="00B60F66">
        <w:rPr>
          <w:b/>
          <w:caps/>
        </w:rPr>
        <w:t>/2021/</w:t>
      </w:r>
      <w:sdt>
        <w:sdtPr>
          <w:rPr>
            <w:b/>
            <w:caps/>
          </w:rPr>
          <w:id w:val="845444643"/>
          <w:placeholder>
            <w:docPart w:val="3CE2E9006D2E4D819D374FDF453AE218"/>
          </w:placeholder>
        </w:sdtPr>
        <w:sdtEndPr/>
        <w:sdtContent>
          <w:r>
            <w:rPr>
              <w:b/>
              <w:caps/>
            </w:rPr>
            <w:t>DSOZ</w:t>
          </w:r>
        </w:sdtContent>
      </w:sdt>
    </w:p>
    <w:p w:rsidR="00B60F66" w:rsidRPr="00B60F66" w:rsidRDefault="00D13426" w:rsidP="00B60F66">
      <w:pPr>
        <w:jc w:val="center"/>
        <w:rPr>
          <w:b/>
          <w:caps/>
        </w:rPr>
      </w:pPr>
      <w:r w:rsidRPr="00B60F66">
        <w:rPr>
          <w:b/>
          <w:caps/>
        </w:rPr>
        <w:t>PREZESA</w:t>
      </w:r>
      <w:r>
        <w:rPr>
          <w:b/>
          <w:caps/>
        </w:rPr>
        <w:t xml:space="preserve"> </w:t>
      </w:r>
      <w:r w:rsidRPr="00B60F66">
        <w:rPr>
          <w:b/>
          <w:caps/>
        </w:rPr>
        <w:t>NARODOWEGO FUNDUSZU ZDROWIA</w:t>
      </w:r>
    </w:p>
    <w:p w:rsidR="00B60F66" w:rsidRPr="00B60F66" w:rsidRDefault="00D13426" w:rsidP="00B60F66">
      <w:pPr>
        <w:spacing w:before="280" w:after="280"/>
        <w:jc w:val="center"/>
      </w:pPr>
      <w:r w:rsidRPr="00B60F66">
        <w:t xml:space="preserve">z dnia </w:t>
      </w:r>
      <w:bookmarkStart w:id="1" w:name="ezdDataPodpisu"/>
      <w:r w:rsidRPr="00B60F66">
        <w:t>10.12.2021</w:t>
      </w:r>
      <w:bookmarkEnd w:id="1"/>
      <w:r w:rsidRPr="00B60F66">
        <w:t xml:space="preserve"> r.</w:t>
      </w:r>
    </w:p>
    <w:p w:rsidR="00A77B3E" w:rsidRDefault="00D13426">
      <w:pPr>
        <w:keepNext/>
        <w:spacing w:after="480"/>
        <w:jc w:val="center"/>
      </w:pPr>
      <w:r>
        <w:rPr>
          <w:b/>
        </w:rPr>
        <w:t>w sprawie określenia warunków zawierania i realizacji umów w rodzaju opieka paliatywna i hospicyjna</w:t>
      </w:r>
    </w:p>
    <w:p w:rsidR="00A77B3E" w:rsidRDefault="00D13426">
      <w:pPr>
        <w:keepLines/>
        <w:spacing w:before="120" w:after="120"/>
        <w:ind w:firstLine="227"/>
        <w:rPr>
          <w:color w:val="000000"/>
          <w:u w:color="000000"/>
        </w:rPr>
      </w:pPr>
      <w:r>
        <w:t>Na podstawie art. 102 ust. 5 pkt 21 i 25 oraz art. 146 ust. 1 ustawy z dnia 27 sierpnia 2004 r. o świadczeniach opieki zdrowotnej finansowanych ze środków publicznych (Dz.U. z 2021 r. poz. 1285, z późn. zm.</w:t>
      </w:r>
      <w:r>
        <w:rPr>
          <w:rStyle w:val="Odwoanieprzypisudolnego"/>
          <w:color w:val="000000"/>
          <w:sz w:val="20"/>
          <w:u w:color="000000"/>
        </w:rPr>
        <w:footnoteReference w:customMarkFollows="1" w:id="1"/>
        <w:t>1)</w:t>
      </w:r>
      <w:r>
        <w:rPr>
          <w:color w:val="000000"/>
          <w:u w:color="000000"/>
        </w:rPr>
        <w:t>) zarządza się, co następuje:</w:t>
      </w:r>
    </w:p>
    <w:p w:rsidR="00A77B3E" w:rsidRDefault="00D13426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1.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</w:t>
      </w:r>
      <w:r>
        <w:rPr>
          <w:b/>
          <w:color w:val="000000"/>
          <w:u w:color="000000"/>
        </w:rPr>
        <w:t>owienia ogólne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>Zarządzenie określa: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przedmiot postępowania w sprawie zawarcia umowy o udzielanie świadczeń opieki zdrowotnej;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szczegółowe warunki umów o udzielanie świadczeń opieki zdrowotnej w rodzaju opieka paliatywna i hospicyjna.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Uży</w:t>
      </w:r>
      <w:r>
        <w:rPr>
          <w:color w:val="000000"/>
          <w:u w:color="000000"/>
        </w:rPr>
        <w:t xml:space="preserve">te w zarządzeniu określenia oznaczają: 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Fundusz</w:t>
      </w:r>
      <w:r>
        <w:rPr>
          <w:color w:val="000000"/>
          <w:u w:color="000000"/>
        </w:rPr>
        <w:t xml:space="preserve"> – Narodowy Fundusz Zdrowia;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oddział Funduszu</w:t>
      </w:r>
      <w:r>
        <w:rPr>
          <w:color w:val="000000"/>
          <w:u w:color="000000"/>
        </w:rPr>
        <w:t>– oddział wojewódzki Funduszu;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ogólne warunki umów </w:t>
      </w:r>
      <w:r>
        <w:rPr>
          <w:color w:val="000000"/>
          <w:u w:color="000000"/>
        </w:rPr>
        <w:t xml:space="preserve">– ogólne warunki umów o udzielanie świadczeń opieki zdrowotnej określone w załączniku do rozporządzenia </w:t>
      </w:r>
      <w:r>
        <w:rPr>
          <w:color w:val="000000"/>
          <w:u w:color="000000"/>
        </w:rPr>
        <w:t>ministra właściwego do spraw zdrowia wydanego na podstawie art. 137 ust. 2 ustawy z dnia 27 sierpnia 2004 r. o świadczeniach opieki zdrowotnej finansowanych ze środków publicznych, zwanej dalej „ustawą o świadczeniach”;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osobodzień </w:t>
      </w:r>
      <w:r>
        <w:rPr>
          <w:color w:val="000000"/>
          <w:u w:color="000000"/>
        </w:rPr>
        <w:t>– jednostkowa miara sł</w:t>
      </w:r>
      <w:r>
        <w:rPr>
          <w:color w:val="000000"/>
          <w:u w:color="000000"/>
        </w:rPr>
        <w:t>użąca do sprawozdawania produktów rozliczeniowych określona w katalogu świadczeń w opiece paliatywnej i hospicyjnej, stanowiącym załącznik nr 1 do zarządzenia;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 xml:space="preserve">punkt </w:t>
      </w:r>
      <w:r>
        <w:rPr>
          <w:color w:val="000000"/>
          <w:u w:color="000000"/>
        </w:rPr>
        <w:t>– jednostkowa miara służąca do określenia wartości świadczeń opieki zdrowotnej - produk</w:t>
      </w:r>
      <w:r>
        <w:rPr>
          <w:color w:val="000000"/>
          <w:u w:color="000000"/>
        </w:rPr>
        <w:t>tu rozliczeniowego (sprawozdawanego), określonego w Katalogu świadczeń w opiece paliatywnej i hospicyjnej, stanowiącym załącznik nr 1 do zarządzenia;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przepustka</w:t>
      </w:r>
      <w:r>
        <w:rPr>
          <w:color w:val="000000"/>
          <w:u w:color="000000"/>
        </w:rPr>
        <w:t xml:space="preserve"> – okresowe przebywanie świadczeniobiorcy poza hospicjum stacjonarnym lub oddziałem medycyny </w:t>
      </w:r>
      <w:r>
        <w:rPr>
          <w:color w:val="000000"/>
          <w:u w:color="000000"/>
        </w:rPr>
        <w:t xml:space="preserve">paliatywnej, bez potrzeby wypisywania go z hospicjum lub oddziału; 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rodzaj świadczeń</w:t>
      </w:r>
      <w:r>
        <w:rPr>
          <w:color w:val="000000"/>
          <w:u w:color="000000"/>
        </w:rPr>
        <w:t xml:space="preserve"> – rodzaj, o którym mowa w ogólnych warunkach umów;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>rozporządzenie</w:t>
      </w:r>
      <w:r>
        <w:rPr>
          <w:color w:val="000000"/>
          <w:u w:color="000000"/>
        </w:rPr>
        <w:t xml:space="preserve"> – rozporządzenie ministra właściwego do spraw zdrowia w sprawie świadczeń gwarantowanych z zakresu opieki paliatywnej i hospicyjnej wydane na podstawie art. 31d ustawy o świadczeniach;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b/>
          <w:color w:val="000000"/>
          <w:u w:color="000000"/>
        </w:rPr>
        <w:t xml:space="preserve">świadczenia wykonywane w warunkach domowych </w:t>
      </w:r>
      <w:r>
        <w:rPr>
          <w:color w:val="000000"/>
          <w:u w:color="000000"/>
        </w:rPr>
        <w:t>– świadczenia gwarantow</w:t>
      </w:r>
      <w:r>
        <w:rPr>
          <w:color w:val="000000"/>
          <w:u w:color="000000"/>
        </w:rPr>
        <w:t xml:space="preserve">ane, o których mowa w § 6 rozporządzenia, udzielane w miejscu zamieszkania lub czasowego pobytu świadczeniobiorcy, w tym także w domach pomocy społecznej z wyłączeniem pobytu w podmiotach udzielających świadczeń gwarantowanych w warunkach stacjonarnych; 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</w:t>
      </w:r>
      <w:r>
        <w:t>0) </w:t>
      </w:r>
      <w:r>
        <w:rPr>
          <w:b/>
          <w:color w:val="000000"/>
          <w:u w:color="000000"/>
        </w:rPr>
        <w:t xml:space="preserve">zakres świadczeń </w:t>
      </w:r>
      <w:r>
        <w:rPr>
          <w:color w:val="000000"/>
          <w:u w:color="000000"/>
        </w:rPr>
        <w:t>– zakres, o którym mowa w ogólnych warunkach umów.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Określenia inne niż wymienione w ust. 1 użyte w zarządzeniu, mają znaczenie nadane im w przepisach odrębnych, w tym w szczególności w rozporządzeniu oraz w ogólnych warunkach umów.</w:t>
      </w:r>
    </w:p>
    <w:p w:rsidR="00A77B3E" w:rsidRDefault="00D13426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lastRenderedPageBreak/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Przedmiot postępowania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t>1. </w:t>
      </w:r>
      <w:r>
        <w:rPr>
          <w:color w:val="000000"/>
          <w:u w:color="000000"/>
        </w:rPr>
        <w:t xml:space="preserve">Przedmiotem postępowania, o którym mowa w § 1 pkt 1, jest wyłonienie świadczeniodawców do udzielania świadczeń w rodzaju opieka paliatywna i hospicyjna. 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Zgodnie ze Wspólnym Słownikiem Zamówień, określonym w ro</w:t>
      </w:r>
      <w:r>
        <w:rPr>
          <w:color w:val="000000"/>
          <w:u w:color="000000"/>
        </w:rPr>
        <w:t>zporządzeniu Parlamentu Europejskiego i Rady (WE) nr 2195/2002 z dnia 5 listopada 2002 r. w sprawie Wspólnego Słownika Zamówień (CPV) - (DZ. Urz. WE L 340 z 16.12.2002, str. 1, Dz. Urz. UE Polskie wydanie specjalne, rozdz. 6, t. 5, str. 3., z późn. zm.) or</w:t>
      </w:r>
      <w:r>
        <w:rPr>
          <w:color w:val="000000"/>
          <w:u w:color="000000"/>
        </w:rPr>
        <w:t>az zgodnie z art. 141 ust. 4 ustawy o świadczeniach, przedmiotem umów objęte są następujące nazwy i kody: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85110000-3 - Usługi szpitalne i podobne;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85141210-4 - Usługi leczenia medycznego świadczone w warunkach domowych;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85144000-0 - Usługi placówe</w:t>
      </w:r>
      <w:r>
        <w:rPr>
          <w:color w:val="000000"/>
          <w:u w:color="000000"/>
        </w:rPr>
        <w:t>k opieki zdrowotnej zapewniających zakwaterowanie;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85143000-3 - Usługi ambulatoryjne.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Postępowanie, o którym mowa w § 1 pkt 1, ma na celu wyłonienie świadczeniodawców do realizacji świadczeń odpowiednio na obszarze terytorialnym: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województwa;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więcej niż jednego powiatu;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powiatu;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więcej niż jednej gminy;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gminy;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więcej niż jednej dzielnicy;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dzielnicy.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Porównanie ofert w toku postępowania następuje zgodnie z przepisami art. 148 ustawy o świadczeniach oraz przepisami wydanymi </w:t>
      </w:r>
      <w:r>
        <w:rPr>
          <w:color w:val="000000"/>
          <w:u w:color="000000"/>
        </w:rPr>
        <w:t>na podstawie art. 148 ust. 3 tej ustawy.</w:t>
      </w:r>
    </w:p>
    <w:p w:rsidR="00A77B3E" w:rsidRDefault="00D13426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Szczegółowe warunki umowy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Przedmiotem umowy o udzielanie świadczeń opieki zdrowotnej w rodzaju świadczeń: opieka paliatywna i hospicyjna, zwanej dalej „umową”, jest w szczególności realizacja świ</w:t>
      </w:r>
      <w:r>
        <w:rPr>
          <w:color w:val="000000"/>
          <w:u w:color="000000"/>
        </w:rPr>
        <w:t>adczeń udzielanych świadczeniobiorcom przez świadczeniodawcę w zakresach świadczeń określonych w 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zarządzenia. 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ab/>
        <w:t xml:space="preserve"> Odpowiednio do przedmiotu umowy, jednostki rozliczeniowe dla poszczególnych zakresów świadczeń określone są </w:t>
      </w:r>
      <w:r>
        <w:rPr>
          <w:b/>
          <w:color w:val="000000"/>
          <w:u w:color="000000"/>
        </w:rPr>
        <w:t xml:space="preserve">w załączniku </w:t>
      </w:r>
      <w:r>
        <w:rPr>
          <w:b/>
          <w:color w:val="000000"/>
          <w:u w:color="000000"/>
        </w:rPr>
        <w:t>nr 1</w:t>
      </w:r>
      <w:r>
        <w:rPr>
          <w:color w:val="000000"/>
          <w:u w:color="000000"/>
        </w:rPr>
        <w:t xml:space="preserve"> do zarządzenia.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ab/>
        <w:t xml:space="preserve"> Wzór umowy określony jest w </w:t>
      </w:r>
      <w:r>
        <w:rPr>
          <w:b/>
          <w:color w:val="000000"/>
          <w:u w:color="000000"/>
        </w:rPr>
        <w:t>załączniku nr 2 </w:t>
      </w:r>
      <w:r>
        <w:rPr>
          <w:color w:val="000000"/>
          <w:u w:color="000000"/>
        </w:rPr>
        <w:t>do zarządzenia.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Odstępstwa od wzoru umowy wymagają pisemnej zgody Prezesa Funduszu.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 xml:space="preserve">Świadczeniodawca realizujący umowę obowiązany jest spełniać wymagania określone </w:t>
      </w:r>
      <w:r>
        <w:rPr>
          <w:color w:val="000000"/>
          <w:u w:color="000000"/>
        </w:rPr>
        <w:t>w niniejszym zarządzeniu oraz w przepisach odrębnych, w szczególności w rozporządzeniu.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Konieczność spełniania wymagań, o których mowa w ust. 1, dotyczy każdego miejsca udzielania świadczeń, w którym realizowana jest umowa, łącznie ze świadczeniami wyko</w:t>
      </w:r>
      <w:r>
        <w:rPr>
          <w:color w:val="000000"/>
          <w:u w:color="000000"/>
        </w:rPr>
        <w:t>nywanymi w warunkach domowych.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Świadczenia objęte przedmiotem umowy udzielane są osobiście przez osoby posiadające określone kwalifikacje, zgodnie z „Harmonogramem - zasoby”, określonym w  załączniku nr 2 do umowy.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zapewnia dost</w:t>
      </w:r>
      <w:r>
        <w:rPr>
          <w:color w:val="000000"/>
          <w:u w:color="000000"/>
        </w:rPr>
        <w:t>ępność do świadczeń zgodnie z harmonogramem, o którym mowa w ust. 1.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lastRenderedPageBreak/>
        <w:t>§ 8. </w:t>
      </w:r>
      <w:r>
        <w:t>1. </w:t>
      </w:r>
      <w:r>
        <w:rPr>
          <w:color w:val="000000"/>
          <w:u w:color="000000"/>
        </w:rPr>
        <w:t xml:space="preserve">Świadczenia w poszczególnych zakresach świadczeń mogą być udzielane przez świadczeniodawcę z udziałem podwykonawców udzielających świadczeń na zlecenie świadczeniodawcy, </w:t>
      </w:r>
      <w:r>
        <w:rPr>
          <w:color w:val="000000"/>
          <w:u w:color="000000"/>
        </w:rPr>
        <w:t>wymienionych w „Wykazie podwykonawców”, określonym w  załączniku nr 3 do umowy.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Dopuszcza się zlecenie podwykonawcy udzielania jedynie części zakresu świadczeń będących przedmiotem umowy.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Świadczenia mogą być udzielane wyłącznie przez podwykonawcę sp</w:t>
      </w:r>
      <w:r>
        <w:rPr>
          <w:color w:val="000000"/>
          <w:u w:color="000000"/>
        </w:rPr>
        <w:t>ełniającego wymagania, o których mowa w § 6.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Umowa zawarta między świadczeniodawcą a podwykonawcą zawiera zastrzeżenie o prawie Funduszu do przeprowadzenia kontroli podwykonawcy, w zakresie świadczeń wynikającym z umowy na zasadach określonych w ustawie</w:t>
      </w:r>
      <w:r>
        <w:rPr>
          <w:color w:val="000000"/>
          <w:u w:color="000000"/>
        </w:rPr>
        <w:t xml:space="preserve"> o świadczeniach.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Fundusz obowiązany jest do poinformowania świadczeniodawcy o rozpoczęciu i  zakończeniu kontroli wszystkich podmiotów biorących udział w udzielaniu świadczeń, w tym podwykonawcy oraz o jej wynikach.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warunków udzielania świadc</w:t>
      </w:r>
      <w:r>
        <w:rPr>
          <w:color w:val="000000"/>
          <w:u w:color="000000"/>
        </w:rPr>
        <w:t>zeń przez podwykonawców, mająca wpływ na dostępność, zgłaszana jest przez świadczeniodawcę do oddziału Funduszu w terminie umożliwiającym zmianę umowy, nie później jednak niż 14 dni przed wystąpieniem tej zmiany.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Fundusz nie finansuje świadczeń opi</w:t>
      </w:r>
      <w:r>
        <w:rPr>
          <w:color w:val="000000"/>
          <w:u w:color="000000"/>
        </w:rPr>
        <w:t>eki zdrowotnej udzielanych w związku z prowadzeniem eksperymentu medycznego, w tym badania klinicznego, których finansowanie określają odrębne przepisy.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obowiązany jest do udostępnienia na żądanie oddziału Funduszu rejestru zakażeń zakł</w:t>
      </w:r>
      <w:r>
        <w:rPr>
          <w:color w:val="000000"/>
          <w:u w:color="000000"/>
        </w:rPr>
        <w:t>adowych.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t>1. </w:t>
      </w:r>
      <w:r>
        <w:rPr>
          <w:color w:val="000000"/>
          <w:u w:color="000000"/>
        </w:rPr>
        <w:t>Świadczeniodawca odpowiada wobec świadczeniobiorcy za jakość udzielonego świadczenia.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obowiązany jest do systematycznego i ciągłego wykonywania umowy przez cały okres jej obowiązywania.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Przy udzielaniu świadczeń, św</w:t>
      </w:r>
      <w:r>
        <w:rPr>
          <w:color w:val="000000"/>
          <w:u w:color="000000"/>
        </w:rPr>
        <w:t>iadczeniodawca obowiązany jest do weryfikacji, z uwzględnieniem przepisów art. 50 ustawy o świadczeniach, prawa świadczeniobiorcy do świadczeń opieki zdrowotnej finansowanych ze środków publicznych.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celu realizacji obowiązku, o którym mowa w ust. 3, ś</w:t>
      </w:r>
      <w:r>
        <w:rPr>
          <w:color w:val="000000"/>
          <w:u w:color="000000"/>
        </w:rPr>
        <w:t>wiadczeniodawca obowiązany jest do uzyskania we właściwym oddziale Funduszu upoważnienia do korzystania z usługi Elektronicznej Weryfikacji Uprawnień Świadczeniobiorców umożliwiającej występowanie o sporządzenie dokumentu potwierdzającego prawo do świadcze</w:t>
      </w:r>
      <w:r>
        <w:rPr>
          <w:color w:val="000000"/>
          <w:u w:color="000000"/>
        </w:rPr>
        <w:t>ń, zgodnie z art. 50 ust. 3 ustawy o świadczeniach.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celu uzyskania upoważnienia, o którym mowa w ust. 4, świadczeniodawca składa w oddziale Funduszu wniosek w terminie 3 dni roboczych od dnia podpisania umowy.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W przypadku niedopełnienia przez świad</w:t>
      </w:r>
      <w:r>
        <w:rPr>
          <w:color w:val="000000"/>
          <w:u w:color="000000"/>
        </w:rPr>
        <w:t>czeniodawcę obowiązku określonego w ust. 4, z przyczyn leżących po stronie świadczeniodawcy, Fundusz może nałożyć na świadczeniodawcę karę umowną, o której mowa w § 6 ust. 3 umowy.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W przypadku nieprzerwanej kontynuacji przez świadczeniodawcę udzielania </w:t>
      </w:r>
      <w:r>
        <w:rPr>
          <w:color w:val="000000"/>
          <w:u w:color="000000"/>
        </w:rPr>
        <w:t>świadczeń na podstawie kolejnej umowy zawartej z Funduszem, upoważnienie, o którym mowa w ust. 4, uzyskane w związku z zawarciem poprzedniej umowy, zachowuje ważność.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W ramach zakresu świadczeń: świadczenia w oddziale medycyny paliatywnej/ hospicj</w:t>
      </w:r>
      <w:r>
        <w:rPr>
          <w:color w:val="000000"/>
          <w:u w:color="000000"/>
        </w:rPr>
        <w:t>um stacjonarnym, kwalifikacja świadczeniobiorcy do żywienia dojelitowego lub pozajelitowego odbywa się na zasadach określonych w przepisach rozporządzenia ministra właściwego do spraw zdrowia w sprawie świadczeń gwarantowanych z zakresu ambulatoryjnej opie</w:t>
      </w:r>
      <w:r>
        <w:rPr>
          <w:color w:val="000000"/>
          <w:u w:color="000000"/>
        </w:rPr>
        <w:t xml:space="preserve">ki specjalistycznej, wydanego na podstawie art. 31d ustawy o świadczeniach. 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Żywienie dojelitowe i pozajelitowe jest realizowane zgodnie z aktualną wiedzą medyczną; rodzaje diet, zasady opieki nad dostępem do żywienia dojelitowego lub pozajelitowego ora</w:t>
      </w:r>
      <w:r>
        <w:rPr>
          <w:color w:val="000000"/>
          <w:u w:color="000000"/>
        </w:rPr>
        <w:t>z zasady podaży kompletnej diety przemysłowej, a także zapobieganie, rozpoznawanie i postępowanie w przypadku powikłań winny być zgodne ze standardami żywienia pozajelitowego i dojelitowego opracowanymi przez Polskie Towarzystwo Żywienia Pozajelitowego, Do</w:t>
      </w:r>
      <w:r>
        <w:rPr>
          <w:color w:val="000000"/>
          <w:u w:color="000000"/>
        </w:rPr>
        <w:t>jelitowego i Metabolizmu oraz zaleceniami Polskiego Towarzystwa Żywienia Klinicznego Dzieci.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 xml:space="preserve">W ramach wizyty personelu medycznego, w zakresach świadczeń: świadczenia w hospicjum domowym oraz świadczenia w hospicjum domowym dla dzieci, personel medyczny </w:t>
      </w:r>
      <w:r>
        <w:rPr>
          <w:color w:val="000000"/>
          <w:u w:color="000000"/>
        </w:rPr>
        <w:t xml:space="preserve">hospicjum domowego oraz hospicjum domowego dla dzieci jest każdorazowo obowiązany do przedkładania świadczeniobiorcy lub członkowi jego rodziny, albo opiekunowi faktycznemu lub prawnemu „Karty wizyt w domu chorego”, której wzór określony jest </w:t>
      </w:r>
      <w:r>
        <w:rPr>
          <w:b/>
          <w:color w:val="000000"/>
          <w:u w:color="000000"/>
        </w:rPr>
        <w:t>w załączniku </w:t>
      </w:r>
      <w:r>
        <w:rPr>
          <w:b/>
          <w:color w:val="000000"/>
          <w:u w:color="000000"/>
        </w:rPr>
        <w:t xml:space="preserve">nr 3 </w:t>
      </w:r>
      <w:r>
        <w:rPr>
          <w:color w:val="000000"/>
          <w:u w:color="000000"/>
        </w:rPr>
        <w:t>do zarządzenia, w celu potwierdzenia zrealizowanej wizyty.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Kartę, o której mowa w ust. 3, dołącza się do dokumentacji medycznej świadczeniobiorcy.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Warunki rozliczania świadczeń realizowanych w ramach umowy, określone są w ogólnych warunkac</w:t>
      </w:r>
      <w:r>
        <w:rPr>
          <w:color w:val="000000"/>
          <w:u w:color="000000"/>
        </w:rPr>
        <w:t>h umów oraz w umowie.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Liczba i cena jednostek rozliczeniowych oraz kwota zobowiązania Funduszu są określone w „Planie rzeczowo – finansowym”, którego wzór określony jest w załączniku nr 1 do umowy.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Podstawą rozliczeń i płatności za świadczenia udziel</w:t>
      </w:r>
      <w:r>
        <w:rPr>
          <w:color w:val="000000"/>
          <w:u w:color="000000"/>
        </w:rPr>
        <w:t>one w okresie sprawozdawczym jest rachunek wraz z raportem statystycznym.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Rachunki z tytułu realizacji umowy Świadczeniodawca może przesłać w formie papierowej lub w formie elektronicznej poprzez Portal Narodowego Funduszu Zdrowia zgodnie z formatem </w:t>
      </w:r>
      <w:r>
        <w:rPr>
          <w:color w:val="000000"/>
          <w:u w:color="000000"/>
        </w:rPr>
        <w:t>ustalonym przez Prezesa Funduszu, pod warunkiem zapewnienia autentyczności pochodzenia, integralności treści i czytelności rachunku.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Świadczeniodawcy przysługuje prawo korygowania raportu stanowiącego podstawę wystawienia rachunku.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Raport statystyczn</w:t>
      </w:r>
      <w:r>
        <w:rPr>
          <w:color w:val="000000"/>
          <w:u w:color="000000"/>
        </w:rPr>
        <w:t>y przekazywany przez świadczeniodawcę podlega weryfikacji w oddziale Funduszu.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Jednostką rozliczeniową w opiece paliatywnej i hospicyjnej jest punkt.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 xml:space="preserve">Każda porada lekarza i psychologa oraz wizyta pielęgniarki i fizjoterapeuty realizowana w warunkach </w:t>
      </w:r>
      <w:r>
        <w:rPr>
          <w:color w:val="000000"/>
          <w:u w:color="000000"/>
        </w:rPr>
        <w:t>domowych lub w poradni medycyny paliatywnej jest sprawozdawana w raporcie statystycznym wraz z datą i kodem określonym w </w:t>
      </w:r>
      <w:r>
        <w:rPr>
          <w:b/>
          <w:color w:val="000000"/>
          <w:u w:color="000000"/>
        </w:rPr>
        <w:t>załączniku nr 4</w:t>
      </w:r>
      <w:r>
        <w:rPr>
          <w:color w:val="000000"/>
          <w:u w:color="000000"/>
        </w:rPr>
        <w:t xml:space="preserve"> do zarządzenia - </w:t>
      </w:r>
      <w:r>
        <w:rPr>
          <w:i/>
          <w:color w:val="000000"/>
          <w:u w:color="000000"/>
        </w:rPr>
        <w:t>Kody do sprawozdawania porad i wizyt lekarskich, pielęgniarskich, fizjoterapeuty i psychologa</w:t>
      </w:r>
      <w:r>
        <w:rPr>
          <w:color w:val="000000"/>
          <w:u w:color="000000"/>
        </w:rPr>
        <w:t xml:space="preserve">. 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Prz</w:t>
      </w:r>
      <w:r>
        <w:rPr>
          <w:color w:val="000000"/>
          <w:u w:color="000000"/>
        </w:rPr>
        <w:t>y rozliczaniu świadczeń udzielanych świadczeniobiorcom poniżej 18. roku życia, po przekroczeniu kwoty zobowiązania określonej w umowie dla zakresu, w którym udzielono tych świadczeń, na wniosek świadczeniodawcy składany po upływie kwartału, w którym udziel</w:t>
      </w:r>
      <w:r>
        <w:rPr>
          <w:color w:val="000000"/>
          <w:u w:color="000000"/>
        </w:rPr>
        <w:t>ono tych świadczeń, zwiększeniu ulegają liczba jednostek rozliczeniowych oraz kwota zobowiązania w tym zakresie, z zastrzeżeniem, że liczba jednostek rozliczeniowych oraz kwota zobowiązania może wzrosnąć maksymalnie o liczbę jednostek rozliczeniowych i war</w:t>
      </w:r>
      <w:r>
        <w:rPr>
          <w:color w:val="000000"/>
          <w:u w:color="000000"/>
        </w:rPr>
        <w:t>tość odpowiadającą świadczeniom udzielonym świadczeniobiorcom poniżej 18. roku życia ponad kwotę zobowiązania w tym kwartale.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color w:val="000000"/>
          <w:u w:color="000000"/>
        </w:rPr>
        <w:t>Przedstawiając świadczenia do zapłaty, świadczeniodawca obowiązany jest do stosowania następujących zasad: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do rozliczenia</w:t>
      </w:r>
      <w:r>
        <w:rPr>
          <w:color w:val="000000"/>
          <w:u w:color="000000"/>
        </w:rPr>
        <w:t xml:space="preserve"> pobytu w zakładzie udzielającym świadczeń w warunkach stacjonarnych albo domowych wykazuje się wyłącznie osobodni faktycznie wykonane, przez które należy rozumieć każdy rozpoczęty osobodzień pobytu stacjonarnego oraz w warunkach opieki domowej, z zastrzeż</w:t>
      </w:r>
      <w:r>
        <w:rPr>
          <w:color w:val="000000"/>
          <w:u w:color="000000"/>
        </w:rPr>
        <w:t>eniem pkt 2;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dzień objęcia opieką i dzień jej zakończenia wykazywane są do rozliczenia jako jeden osobodzień;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jeżeli w trakcie pobytu w hospicjum stacjonarnym/ oddziale medycyny paliatywnej, hospicjum domowym, hospicjum domowym dla dzieci, pacjent mu</w:t>
      </w:r>
      <w:r>
        <w:rPr>
          <w:color w:val="000000"/>
          <w:u w:color="000000"/>
        </w:rPr>
        <w:t>siał być skierowany do szpitala, wówczas powrót ze szpitala traktowany jest jako kontynuacja opieki w hospicjum i nie jest wymagane nowe skierowanie;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pierwsza wizyta lub porada musi się odbyć w dniu objęcia pacjenta opieką przez hospicjum domowe;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 r</w:t>
      </w:r>
      <w:r>
        <w:rPr>
          <w:color w:val="000000"/>
          <w:u w:color="000000"/>
        </w:rPr>
        <w:t>azie korzystania przez świadczeniobiorcę z przepustki, Fundusz finansuje 50% wartości osobodnia pobytu świadczeniobiorcy w hospicjum stacjonarnym lub oddziale medycyny paliatywnej, z zastrzeżeniem pkt 6 i 7;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 okresie korzystania z przepustki, świadczen</w:t>
      </w:r>
      <w:r>
        <w:rPr>
          <w:color w:val="000000"/>
          <w:u w:color="000000"/>
        </w:rPr>
        <w:t>iodawca wyposaża świadczeniobiorcę w leki i wyroby medyczne;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Fundusz finansuje czas przebywania świadczeniobiorcy na przepustce do 2 dni w miesiącu; informację o udzielonej przepustce świadczeniodawca odnotowuje w dokumentacji medycznej indywidualnej św</w:t>
      </w:r>
      <w:r>
        <w:rPr>
          <w:color w:val="000000"/>
          <w:u w:color="000000"/>
        </w:rPr>
        <w:t>iadczeniobiorcy;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8) </w:t>
      </w:r>
      <w:r>
        <w:rPr>
          <w:color w:val="000000"/>
          <w:u w:color="000000"/>
        </w:rPr>
        <w:t>Fundusz finansuje świadczenia realizowane w ramach perinatalnej opieki paliatywnej do 28. dnia po porodzie na rzecz:</w:t>
      </w:r>
    </w:p>
    <w:p w:rsidR="00A77B3E" w:rsidRDefault="00D13426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rodziców dziecka, w tym będącego w fazie prenatalnej,</w:t>
      </w:r>
    </w:p>
    <w:p w:rsidR="00A77B3E" w:rsidRDefault="00D13426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noworodków, zgodnie z kryteriami kwalifikacji do leczenia o</w:t>
      </w:r>
      <w:r>
        <w:rPr>
          <w:color w:val="000000"/>
          <w:u w:color="000000"/>
        </w:rPr>
        <w:t>kreślonymi w załączniku nr 1 część III do rozporządzenia;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podstawą rozliczenia świadczeń w ramach perinatalnej opieki paliatywnej na rzecz rodziców dziecka będącego w fazie prenatalnej i tegoż dziecka, są wskazania medyczne opisane na skierowaniu wydany</w:t>
      </w:r>
      <w:r>
        <w:rPr>
          <w:color w:val="000000"/>
          <w:u w:color="000000"/>
        </w:rPr>
        <w:t>m przez lekarza ubezpieczenia zdrowotnego;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dokumentacja medyczna prowadzona jest odrębnie dla każdego świadczeniobiorcy, któremu udzielona została porada lub konsultacja wraz z koordynacją opieki;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w ramach perinatalnej opieki paliatywnej w raporcie</w:t>
      </w:r>
      <w:r>
        <w:rPr>
          <w:color w:val="000000"/>
          <w:u w:color="000000"/>
        </w:rPr>
        <w:t xml:space="preserve"> statystycznym sprawozdawana jest, wraz z określeniem terminu wykonanego świadczenia, numeru PESEL matki lub ojca jeżeli został nadany, a w przypadku osób, które nie mają nadanego numeru PESEL - numeru innego dokumentu potwierdzającego tożsamość lub numeru</w:t>
      </w:r>
      <w:r>
        <w:rPr>
          <w:color w:val="000000"/>
          <w:u w:color="000000"/>
        </w:rPr>
        <w:t xml:space="preserve"> PESEL dziecka, o ile został nadany albo numeru dokumentu potwierdzającego tożsamość opiekuna faktycznego dziecka:</w:t>
      </w:r>
    </w:p>
    <w:p w:rsidR="00A77B3E" w:rsidRDefault="00D13426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ab/>
        <w:t>porada i konsultacja lekarska z kodem określonym w załączniku nr 4 do zarządzenia,</w:t>
      </w:r>
    </w:p>
    <w:p w:rsidR="00A77B3E" w:rsidRDefault="00D13426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ab/>
        <w:t>porada psychologiczna z kodem określonym w załączn</w:t>
      </w:r>
      <w:r>
        <w:rPr>
          <w:color w:val="000000"/>
          <w:u w:color="000000"/>
        </w:rPr>
        <w:t>iku nr 4 do zarządzenia;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perinatalna opieka paliatywna rozliczana jest ze wskazaniem danych matki albo ojca, albo dziecka, albo opiekuna faktycznego, o których mowa w pkt 11, na koniec sprawowanej opieki, w której uwzględnione zostały koszty porad i ko</w:t>
      </w:r>
      <w:r>
        <w:rPr>
          <w:color w:val="000000"/>
          <w:u w:color="000000"/>
        </w:rPr>
        <w:t>nsultacji lekarskich, porad psychologa lub psychoterapeuty wraz z koordynacją opieki;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>porada i konsultacja lekarska albo porada psychologiczna udzielana obojgu rodzicom w tym samym terminie traktowane są jako jedna porada.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>W przypadku udzielan</w:t>
      </w:r>
      <w:r>
        <w:rPr>
          <w:color w:val="000000"/>
          <w:u w:color="000000"/>
        </w:rPr>
        <w:t>ych w ramach sprawowanej opieki świadczeń: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odrębnie kontraktowanych, z wyłączeniem:</w:t>
      </w:r>
    </w:p>
    <w:p w:rsidR="00A77B3E" w:rsidRDefault="00D13426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żywienia dojelitowego i pozajelitowego w warunkach domowych – w odniesieniu do zakresu świadczeń udzielanych w oddziale medycyny paliatywnej lub hospicjum </w:t>
      </w:r>
      <w:r>
        <w:rPr>
          <w:color w:val="000000"/>
          <w:u w:color="000000"/>
        </w:rPr>
        <w:t>stacjonarnym,</w:t>
      </w:r>
    </w:p>
    <w:p w:rsidR="00A77B3E" w:rsidRDefault="00D13426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tlenoterapii w warunkach domowych w odniesieniu do zakresu świadczeń udzielanych w oddziale medycyny paliatywnej lub w hospicjum stacjonarnym oraz hospicjum domowym dla dorosłych oraz dla dzieci do ukończenia 18. roku życia;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ambulatoryj</w:t>
      </w:r>
      <w:r>
        <w:rPr>
          <w:color w:val="000000"/>
          <w:u w:color="000000"/>
        </w:rPr>
        <w:t>nej opieki specjalistycznej;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psychiatrii ambulatoryjnej;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opieki stomatologicznej;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radioterapii paliatywnej (teleradioterapii paliatywnej) w trybie ambulatoryjnym;</w:t>
      </w:r>
    </w:p>
    <w:p w:rsidR="00A77B3E" w:rsidRDefault="00D13426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chemioterapii paliatywnej w trybie ambulatoryjnym</w:t>
      </w:r>
    </w:p>
    <w:p w:rsidR="00A77B3E" w:rsidRDefault="00D13426">
      <w:pPr>
        <w:keepLines/>
        <w:spacing w:before="120" w:after="120"/>
        <w:ind w:left="56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dopuszcza się rozliczanie </w:t>
      </w:r>
      <w:r>
        <w:rPr>
          <w:color w:val="000000"/>
          <w:u w:color="000000"/>
        </w:rPr>
        <w:t>świadczeń udzielanych jednoczasowo na podstawie odrębnych umów.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udzielania świadczeń chemioterapii paliatywnej w trybie hospitalizacji lub hospitalizacji onkologicznej w trybie jednodniowym oraz świadczeń teleradioterapii paliatywnej w trybi</w:t>
      </w:r>
      <w:r>
        <w:rPr>
          <w:color w:val="000000"/>
          <w:u w:color="000000"/>
        </w:rPr>
        <w:t>e hospitalizacji, rozliczeniu nie podlega osobodzień pobytu świadczeniobiorcy objętego opieką w hospicjum stacjonarnym, oddziale medycyny paliatywnej, hospicjum domowym dla dorosłych oraz dzieci do ukończenia 18. roku życia.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Wydane zalecenia dotyczące l</w:t>
      </w:r>
      <w:r>
        <w:rPr>
          <w:color w:val="000000"/>
          <w:u w:color="000000"/>
        </w:rPr>
        <w:t>eczenia farmakologicznego, w przypadku realizacji świadczeń, o których mowa w ust. 1, finansowane są przez podmiot wykonujący działalność leczniczą, w którym przebywa świadczeniobiorca.</w:t>
      </w:r>
    </w:p>
    <w:p w:rsidR="00A77B3E" w:rsidRDefault="00D13426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lastRenderedPageBreak/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Umowy o udzielanie świadczeń o</w:t>
      </w:r>
      <w:r>
        <w:rPr>
          <w:color w:val="000000"/>
          <w:u w:color="000000"/>
        </w:rPr>
        <w:t>pieki zdrowotnej w rodzaju opieka paliatywna i hospicyjna, zawarte przed dniem wejścia w życie niniejszego zarządzenia, zachowują ważność przez okres, na jaki zostały zawarte.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16. </w:t>
      </w:r>
      <w:r>
        <w:rPr>
          <w:color w:val="000000"/>
          <w:u w:color="000000"/>
        </w:rPr>
        <w:t>Do postępowań w sprawie zawarcia umów o udzielanie świadczeń opieki zdrowo</w:t>
      </w:r>
      <w:r>
        <w:rPr>
          <w:color w:val="000000"/>
          <w:u w:color="000000"/>
        </w:rPr>
        <w:t>tnej wszczętych i niezakończonych przed dniem wejścia w życie zarządzenia, stosuje się przepisy, o których mowa w § 18, z tym że umowę o udzielanie świadczeń opieki zdrowotnej w rodzaju opieka paliatywna i hospicyjna zawiera się zgodnie ze wzorem umowy o u</w:t>
      </w:r>
      <w:r>
        <w:rPr>
          <w:color w:val="000000"/>
          <w:u w:color="000000"/>
        </w:rPr>
        <w:t>dzielanie świadczeń opieki zdrowotnej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 niniejszego zarządzenia.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Dyrektorzy oddziałów Funduszu zobowiązani są do wprowadzenia do postanowień umów zawartych ze świadczeniodawcami zmian wynikających z wejścia w życie przep</w:t>
      </w:r>
      <w:r>
        <w:rPr>
          <w:color w:val="000000"/>
          <w:u w:color="000000"/>
        </w:rPr>
        <w:t>isów niniejszego zarządzenia.</w:t>
      </w:r>
    </w:p>
    <w:p w:rsidR="00A77B3E" w:rsidRDefault="00D13426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Traci moc zarządzenie Nr 74/2018/DSOZ Prezesa Narodowego Funduszu Zdrowia z dnia 31 lipca 2018 r. w sprawie określenia warunków zawierania i realizacji umów w rodzaju opieka paliatywna i hospicyjna.</w:t>
      </w:r>
    </w:p>
    <w:p w:rsidR="00A77B3E" w:rsidRDefault="00D13426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19. </w:t>
      </w:r>
      <w:r>
        <w:rPr>
          <w:color w:val="000000"/>
          <w:u w:color="000000"/>
        </w:rPr>
        <w:t>Zarządzenie wch</w:t>
      </w:r>
      <w:r>
        <w:rPr>
          <w:color w:val="000000"/>
          <w:u w:color="000000"/>
        </w:rPr>
        <w:t>odzi w życie po upływie 30 dni od dnia podpisania.</w:t>
      </w:r>
    </w:p>
    <w:p w:rsidR="00A77B3E" w:rsidRDefault="00D13426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D13426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5898"/>
      </w:tblGrid>
      <w:tr w:rsidR="00154B11" w:rsidTr="00E1717D">
        <w:tc>
          <w:tcPr>
            <w:tcW w:w="201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571D9" w:rsidRDefault="00D13426">
            <w:pPr>
              <w:keepNext/>
              <w:keepLines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        </w:t>
            </w:r>
          </w:p>
        </w:tc>
        <w:tc>
          <w:tcPr>
            <w:tcW w:w="298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11C2" w:rsidRPr="00A811C2" w:rsidRDefault="00D13426" w:rsidP="00A811C2">
            <w:pPr>
              <w:pStyle w:val="Tekstpodstawowy"/>
              <w:spacing w:before="11"/>
              <w:rPr>
                <w:rFonts w:ascii="Arial" w:eastAsia="Arial" w:hAnsi="Arial" w:cs="Arial"/>
                <w:sz w:val="21"/>
                <w:lang w:eastAsia="en-US" w:bidi="ar-SA"/>
              </w:rPr>
            </w:pPr>
            <w:r w:rsidRPr="00A811C2">
              <w:rPr>
                <w:rFonts w:ascii="Arial" w:eastAsia="Arial" w:hAnsi="Arial" w:cs="Arial"/>
                <w:b/>
                <w:bCs/>
                <w:sz w:val="24"/>
                <w:lang w:eastAsia="en-US" w:bidi="ar-SA"/>
              </w:rPr>
              <w:t>PREZES</w:t>
            </w:r>
            <w:r w:rsidRPr="00A811C2">
              <w:rPr>
                <w:rFonts w:ascii="Arial" w:eastAsia="Arial" w:hAnsi="Arial" w:cs="Arial"/>
                <w:b/>
                <w:bCs/>
                <w:spacing w:val="1"/>
                <w:sz w:val="24"/>
                <w:lang w:eastAsia="en-US" w:bidi="ar-SA"/>
              </w:rPr>
              <w:t xml:space="preserve"> </w:t>
            </w:r>
            <w:r w:rsidRPr="00A811C2">
              <w:rPr>
                <w:rFonts w:ascii="Arial" w:eastAsia="Arial" w:hAnsi="Arial" w:cs="Arial"/>
                <w:b/>
                <w:bCs/>
                <w:sz w:val="24"/>
                <w:lang w:eastAsia="en-US" w:bidi="ar-SA"/>
              </w:rPr>
              <w:t>NARODOWEGO</w:t>
            </w:r>
            <w:r w:rsidRPr="00A811C2">
              <w:rPr>
                <w:rFonts w:ascii="Arial" w:eastAsia="Arial" w:hAnsi="Arial" w:cs="Arial"/>
                <w:b/>
                <w:bCs/>
                <w:spacing w:val="-10"/>
                <w:sz w:val="24"/>
                <w:lang w:eastAsia="en-US" w:bidi="ar-SA"/>
              </w:rPr>
              <w:t xml:space="preserve"> </w:t>
            </w:r>
            <w:r w:rsidRPr="00A811C2">
              <w:rPr>
                <w:rFonts w:ascii="Arial" w:eastAsia="Arial" w:hAnsi="Arial" w:cs="Arial"/>
                <w:b/>
                <w:bCs/>
                <w:sz w:val="24"/>
                <w:lang w:eastAsia="en-US" w:bidi="ar-SA"/>
              </w:rPr>
              <w:t>FUNDUSZU</w:t>
            </w:r>
            <w:r w:rsidRPr="00A811C2">
              <w:rPr>
                <w:rFonts w:ascii="Arial" w:eastAsia="Arial" w:hAnsi="Arial" w:cs="Arial"/>
                <w:b/>
                <w:bCs/>
                <w:spacing w:val="-9"/>
                <w:sz w:val="24"/>
                <w:lang w:eastAsia="en-US" w:bidi="ar-SA"/>
              </w:rPr>
              <w:t xml:space="preserve"> </w:t>
            </w:r>
            <w:r w:rsidRPr="00A811C2">
              <w:rPr>
                <w:rFonts w:ascii="Arial" w:eastAsia="Arial" w:hAnsi="Arial" w:cs="Arial"/>
                <w:b/>
                <w:bCs/>
                <w:sz w:val="24"/>
                <w:lang w:eastAsia="en-US" w:bidi="ar-SA"/>
              </w:rPr>
              <w:t>ZDROWIA</w:t>
            </w:r>
          </w:p>
          <w:p w:rsidR="00A811C2" w:rsidRPr="00A811C2" w:rsidRDefault="00D13426" w:rsidP="00A811C2">
            <w:pPr>
              <w:widowControl w:val="0"/>
              <w:autoSpaceDE w:val="0"/>
              <w:autoSpaceDN w:val="0"/>
              <w:ind w:right="266"/>
              <w:rPr>
                <w:rFonts w:eastAsia="Arial" w:cs="Arial"/>
                <w:sz w:val="20"/>
                <w:szCs w:val="22"/>
                <w:lang w:eastAsia="en-US" w:bidi="ar-SA"/>
              </w:rPr>
            </w:pP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Bernard</w:t>
            </w:r>
            <w:r w:rsidRPr="00A811C2">
              <w:rPr>
                <w:rFonts w:eastAsia="Arial" w:cs="Arial"/>
                <w:spacing w:val="-6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Waśko</w:t>
            </w:r>
          </w:p>
          <w:p w:rsidR="00A811C2" w:rsidRPr="00A811C2" w:rsidRDefault="00D13426" w:rsidP="00A811C2">
            <w:pPr>
              <w:widowControl w:val="0"/>
              <w:autoSpaceDE w:val="0"/>
              <w:autoSpaceDN w:val="0"/>
              <w:jc w:val="left"/>
              <w:rPr>
                <w:rFonts w:eastAsia="Arial" w:hAnsi="Arial" w:cs="Arial"/>
                <w:sz w:val="18"/>
                <w:lang w:eastAsia="en-US" w:bidi="ar-SA"/>
              </w:rPr>
            </w:pPr>
          </w:p>
          <w:p w:rsidR="00FE717F" w:rsidRDefault="00D13426" w:rsidP="00A811C2">
            <w:pPr>
              <w:widowControl w:val="0"/>
              <w:autoSpaceDE w:val="0"/>
              <w:autoSpaceDN w:val="0"/>
              <w:ind w:right="266"/>
              <w:rPr>
                <w:rFonts w:eastAsia="Arial" w:cs="Arial"/>
                <w:spacing w:val="-4"/>
                <w:sz w:val="20"/>
                <w:szCs w:val="22"/>
                <w:lang w:eastAsia="en-US" w:bidi="ar-SA"/>
              </w:rPr>
            </w:pP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W</w:t>
            </w:r>
            <w:r w:rsidRPr="00A811C2">
              <w:rPr>
                <w:rFonts w:eastAsia="Arial" w:cs="Arial"/>
                <w:spacing w:val="-7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zastępstwie</w:t>
            </w:r>
            <w:r w:rsidRPr="00A811C2">
              <w:rPr>
                <w:rFonts w:eastAsia="Arial" w:cs="Arial"/>
                <w:spacing w:val="39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Prezesa</w:t>
            </w:r>
            <w:r w:rsidRPr="00A811C2">
              <w:rPr>
                <w:rFonts w:eastAsia="Arial" w:cs="Arial"/>
                <w:spacing w:val="-4"/>
                <w:sz w:val="20"/>
                <w:szCs w:val="22"/>
                <w:lang w:eastAsia="en-US" w:bidi="ar-SA"/>
              </w:rPr>
              <w:t xml:space="preserve"> </w:t>
            </w:r>
          </w:p>
          <w:p w:rsidR="00A811C2" w:rsidRPr="00A811C2" w:rsidRDefault="00D13426" w:rsidP="00A811C2">
            <w:pPr>
              <w:widowControl w:val="0"/>
              <w:autoSpaceDE w:val="0"/>
              <w:autoSpaceDN w:val="0"/>
              <w:ind w:right="266"/>
              <w:rPr>
                <w:rFonts w:eastAsia="Arial" w:cs="Arial"/>
                <w:sz w:val="20"/>
                <w:szCs w:val="22"/>
                <w:lang w:eastAsia="en-US" w:bidi="ar-SA"/>
              </w:rPr>
            </w:pP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Narodowego</w:t>
            </w:r>
            <w:r w:rsidRPr="00A811C2">
              <w:rPr>
                <w:rFonts w:eastAsia="Arial" w:cs="Arial"/>
                <w:spacing w:val="-6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Funduszu</w:t>
            </w:r>
            <w:r w:rsidRPr="00A811C2">
              <w:rPr>
                <w:rFonts w:eastAsia="Arial" w:cs="Arial"/>
                <w:spacing w:val="-6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cs="Arial"/>
                <w:sz w:val="20"/>
                <w:szCs w:val="22"/>
                <w:lang w:eastAsia="en-US" w:bidi="ar-SA"/>
              </w:rPr>
              <w:t>Zdrowia</w:t>
            </w:r>
          </w:p>
          <w:p w:rsidR="00A811C2" w:rsidRPr="00A811C2" w:rsidRDefault="00D13426" w:rsidP="00A811C2">
            <w:pPr>
              <w:widowControl w:val="0"/>
              <w:autoSpaceDE w:val="0"/>
              <w:autoSpaceDN w:val="0"/>
              <w:spacing w:before="115"/>
              <w:ind w:right="266"/>
              <w:rPr>
                <w:rFonts w:eastAsia="Arial" w:hAnsi="Arial" w:cs="Arial"/>
                <w:i/>
                <w:sz w:val="20"/>
                <w:szCs w:val="22"/>
                <w:lang w:eastAsia="en-US" w:bidi="ar-SA"/>
              </w:rPr>
            </w:pPr>
            <w:r w:rsidRPr="00A811C2">
              <w:rPr>
                <w:rFonts w:eastAsia="Arial" w:hAnsi="Arial" w:cs="Arial"/>
                <w:i/>
                <w:sz w:val="20"/>
                <w:szCs w:val="22"/>
                <w:lang w:eastAsia="en-US" w:bidi="ar-SA"/>
              </w:rPr>
              <w:t>/Dokument</w:t>
            </w:r>
            <w:r w:rsidRPr="00A811C2">
              <w:rPr>
                <w:rFonts w:eastAsia="Arial" w:hAnsi="Arial" w:cs="Arial"/>
                <w:i/>
                <w:spacing w:val="-8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hAnsi="Arial" w:cs="Arial"/>
                <w:i/>
                <w:sz w:val="20"/>
                <w:szCs w:val="22"/>
                <w:lang w:eastAsia="en-US" w:bidi="ar-SA"/>
              </w:rPr>
              <w:t>podpisano</w:t>
            </w:r>
            <w:r w:rsidRPr="00A811C2">
              <w:rPr>
                <w:rFonts w:eastAsia="Arial" w:hAnsi="Arial" w:cs="Arial"/>
                <w:i/>
                <w:spacing w:val="-6"/>
                <w:sz w:val="20"/>
                <w:szCs w:val="22"/>
                <w:lang w:eastAsia="en-US" w:bidi="ar-SA"/>
              </w:rPr>
              <w:t xml:space="preserve"> </w:t>
            </w:r>
            <w:r w:rsidRPr="00A811C2">
              <w:rPr>
                <w:rFonts w:eastAsia="Arial" w:hAnsi="Arial" w:cs="Arial"/>
                <w:i/>
                <w:sz w:val="20"/>
                <w:szCs w:val="22"/>
                <w:lang w:eastAsia="en-US" w:bidi="ar-SA"/>
              </w:rPr>
              <w:t>elektronicznie/</w:t>
            </w:r>
          </w:p>
          <w:p w:rsidR="00A811C2" w:rsidRDefault="00D13426" w:rsidP="00A811C2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</w:p>
        </w:tc>
      </w:tr>
    </w:tbl>
    <w:p w:rsidR="00B571D9" w:rsidRDefault="00D13426" w:rsidP="00705300">
      <w:pPr>
        <w:keepNext/>
        <w:rPr>
          <w:szCs w:val="20"/>
        </w:rPr>
      </w:pPr>
    </w:p>
    <w:sectPr w:rsidR="00B571D9" w:rsidSect="007053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13426">
      <w:r>
        <w:separator/>
      </w:r>
    </w:p>
  </w:endnote>
  <w:endnote w:type="continuationSeparator" w:id="0">
    <w:p w:rsidR="00000000" w:rsidRDefault="00D1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0" w:rsidRDefault="00D134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154B11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13426" w:rsidP="00705300">
          <w:pPr>
            <w:jc w:val="left"/>
            <w:rPr>
              <w:sz w:val="18"/>
            </w:rPr>
          </w:pPr>
          <w:r>
            <w:rPr>
              <w:sz w:val="18"/>
            </w:rPr>
            <w:t>Id: 04F92C73-33E9-4E8E-97E8-72D796307065. 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vAlign w:val="bottom"/>
          <w:hideMark/>
        </w:tcPr>
        <w:p w:rsidR="00B571D9" w:rsidRDefault="00D134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6</w:t>
          </w:r>
          <w:r>
            <w:rPr>
              <w:sz w:val="18"/>
            </w:rPr>
            <w:fldChar w:fldCharType="end"/>
          </w:r>
        </w:p>
      </w:tc>
    </w:tr>
  </w:tbl>
  <w:p w:rsidR="00B571D9" w:rsidRDefault="00D13426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0" w:rsidRDefault="00D134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35D" w:rsidRDefault="00D13426">
      <w:r>
        <w:separator/>
      </w:r>
    </w:p>
  </w:footnote>
  <w:footnote w:type="continuationSeparator" w:id="0">
    <w:p w:rsidR="00D0035D" w:rsidRDefault="00D13426">
      <w:r>
        <w:continuationSeparator/>
      </w:r>
    </w:p>
  </w:footnote>
  <w:footnote w:id="1">
    <w:p w:rsidR="00B571D9" w:rsidRDefault="00D13426">
      <w:pPr>
        <w:pStyle w:val="Tekstprzypisudolnego"/>
        <w:keepLines/>
        <w:ind w:left="170" w:hanging="170"/>
      </w:pPr>
      <w:r>
        <w:rPr>
          <w:rStyle w:val="Odwoanieprzypisudolnego"/>
        </w:rPr>
        <w:t>1) </w:t>
      </w:r>
      <w:r>
        <w:t xml:space="preserve">Zmiany tekstu jednolitego wymienionej ustawy zostały ogłoszone w Dz.U. z 2021 r. poz. 1292, 1559, 1773, 1834, </w:t>
      </w:r>
      <w:r>
        <w:t>1981 i 2120.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0" w:rsidRDefault="00D134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0" w:rsidRDefault="00D134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0" w:rsidRDefault="00D134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11"/>
    <w:rsid w:val="00154B11"/>
    <w:rsid w:val="00D1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3AD68F-2235-44F8-8E0A-1F0C9850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7053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5300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7053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05300"/>
    <w:rPr>
      <w:sz w:val="22"/>
      <w:szCs w:val="24"/>
    </w:rPr>
  </w:style>
  <w:style w:type="character" w:styleId="Tekstzastpczy">
    <w:name w:val="Placeholder Text"/>
    <w:basedOn w:val="Domylnaczcionkaakapitu"/>
    <w:uiPriority w:val="99"/>
    <w:semiHidden/>
    <w:rsid w:val="00B60F66"/>
    <w:rPr>
      <w:color w:val="808080"/>
    </w:rPr>
  </w:style>
  <w:style w:type="paragraph" w:styleId="Tekstpodstawowy">
    <w:name w:val="Body Text"/>
    <w:basedOn w:val="Normalny"/>
    <w:link w:val="TekstpodstawowyZnak"/>
    <w:unhideWhenUsed/>
    <w:rsid w:val="00A811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11C2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4119F68E5C4BFF81856579945B1B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280A53-BAFA-44BA-9BCB-96E1BC8E81DD}"/>
      </w:docPartPr>
      <w:docPartBody>
        <w:p w:rsidR="00116E38" w:rsidRDefault="00000000" w:rsidP="004635B2">
          <w:pPr>
            <w:pStyle w:val="2E4119F68E5C4BFF81856579945B1B5E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3CE2E9006D2E4D819D374FDF453AE2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E98B8D-233E-49FE-B0C4-D3D302D7F834}"/>
      </w:docPartPr>
      <w:docPartBody>
        <w:p w:rsidR="00116E38" w:rsidRDefault="00000000" w:rsidP="004635B2">
          <w:pPr>
            <w:pStyle w:val="3CE2E9006D2E4D819D374FDF453AE218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35B2"/>
    <w:rPr>
      <w:color w:val="808080"/>
    </w:rPr>
  </w:style>
  <w:style w:type="paragraph" w:customStyle="1" w:styleId="2E4119F68E5C4BFF81856579945B1B5E">
    <w:name w:val="2E4119F68E5C4BFF81856579945B1B5E"/>
    <w:rsid w:val="004635B2"/>
  </w:style>
  <w:style w:type="paragraph" w:customStyle="1" w:styleId="3CE2E9006D2E4D819D374FDF453AE218">
    <w:name w:val="3CE2E9006D2E4D819D374FDF453AE218"/>
    <w:rsid w:val="004635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2359</Words>
  <Characters>15305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17629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i^realizacji umów w^rodzaju opieka paliatywna i^hospicyjna</dc:subject>
  <dc:creator>ewa.kociubowska</dc:creator>
  <cp:lastModifiedBy>Popek Marta</cp:lastModifiedBy>
  <cp:revision>2</cp:revision>
  <dcterms:created xsi:type="dcterms:W3CDTF">2021-12-10T13:46:00Z</dcterms:created>
  <dcterms:modified xsi:type="dcterms:W3CDTF">2021-12-10T13:46:00Z</dcterms:modified>
  <cp:category>Akt prawny</cp:category>
</cp:coreProperties>
</file>