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4BA" w:rsidRDefault="009F64BA" w:rsidP="00FD70E8">
      <w:pPr>
        <w:rPr>
          <w:rFonts w:ascii="Arial" w:hAnsi="Arial" w:cs="Arial"/>
          <w:b/>
        </w:rPr>
      </w:pPr>
    </w:p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6700E7" w:rsidRPr="002A038B" w:rsidRDefault="006700E7" w:rsidP="006700E7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  <w:r w:rsidRPr="003614C2">
        <w:rPr>
          <w:rFonts w:ascii="Arial" w:hAnsi="Arial" w:cs="Arial"/>
        </w:rPr>
        <w:t xml:space="preserve">Niniejsze zarządzenie Prezesa Narodowego Funduszu Zdrowia </w:t>
      </w:r>
      <w:r w:rsidR="007D3EC2">
        <w:rPr>
          <w:rFonts w:ascii="Arial" w:hAnsi="Arial" w:cs="Arial"/>
        </w:rPr>
        <w:t>stanowi wykonanie upoważnienia zawartego w</w:t>
      </w:r>
      <w:r w:rsidRPr="003614C2">
        <w:rPr>
          <w:rFonts w:ascii="Arial" w:hAnsi="Arial" w:cs="Arial"/>
        </w:rPr>
        <w:t> art. 159 ust. 2</w:t>
      </w:r>
      <w:r w:rsidR="007D3EC2">
        <w:rPr>
          <w:rFonts w:ascii="Arial" w:hAnsi="Arial" w:cs="Arial"/>
        </w:rPr>
        <w:t xml:space="preserve"> ustawy z dnia 27 sierpnia 2004 </w:t>
      </w:r>
      <w:r w:rsidRPr="003614C2">
        <w:rPr>
          <w:rFonts w:ascii="Arial" w:hAnsi="Arial" w:cs="Arial"/>
        </w:rPr>
        <w:t>r. o świadczeniach opieki zdrowotnej finansowanych ze środków publicznych (</w:t>
      </w:r>
      <w:r w:rsidR="00CA3AE9" w:rsidRPr="00CA3AE9">
        <w:rPr>
          <w:rFonts w:ascii="Arial" w:hAnsi="Arial" w:cs="Arial"/>
        </w:rPr>
        <w:t>Dz. U.</w:t>
      </w:r>
      <w:r w:rsidR="008D2002">
        <w:rPr>
          <w:rFonts w:ascii="Arial" w:hAnsi="Arial" w:cs="Arial"/>
        </w:rPr>
        <w:t> </w:t>
      </w:r>
      <w:r w:rsidR="00CA3AE9" w:rsidRPr="00CA3AE9">
        <w:rPr>
          <w:rFonts w:ascii="Arial" w:hAnsi="Arial" w:cs="Arial"/>
        </w:rPr>
        <w:t>z 2020 r. poz. 1398, z późn. zm</w:t>
      </w:r>
      <w:r w:rsidR="00CA3AE9">
        <w:rPr>
          <w:rFonts w:ascii="Arial" w:hAnsi="Arial" w:cs="Arial"/>
        </w:rPr>
        <w:t>.</w:t>
      </w:r>
      <w:r w:rsidRPr="003614C2">
        <w:rPr>
          <w:rFonts w:ascii="Arial" w:hAnsi="Arial" w:cs="Arial"/>
        </w:rPr>
        <w:t>).</w:t>
      </w:r>
    </w:p>
    <w:p w:rsidR="00457454" w:rsidRDefault="00457454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C3286" w:rsidRPr="00963BF4" w:rsidRDefault="00FD70E8" w:rsidP="00C31155">
      <w:pPr>
        <w:pStyle w:val="Tekstprzypisudolnego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963BF4">
        <w:rPr>
          <w:rFonts w:ascii="Arial" w:hAnsi="Arial" w:cs="Arial"/>
          <w:sz w:val="24"/>
          <w:szCs w:val="24"/>
        </w:rPr>
        <w:t>Modyfikacje wprowadzone</w:t>
      </w:r>
      <w:r w:rsidR="007D3EC2" w:rsidRPr="00963BF4">
        <w:rPr>
          <w:rFonts w:ascii="Arial" w:hAnsi="Arial" w:cs="Arial"/>
          <w:sz w:val="24"/>
          <w:szCs w:val="24"/>
        </w:rPr>
        <w:t xml:space="preserve"> </w:t>
      </w:r>
      <w:r w:rsidRPr="00963BF4">
        <w:rPr>
          <w:rFonts w:ascii="Arial" w:hAnsi="Arial" w:cs="Arial"/>
          <w:sz w:val="24"/>
          <w:szCs w:val="24"/>
        </w:rPr>
        <w:t xml:space="preserve">postanowieniami </w:t>
      </w:r>
      <w:r w:rsidR="007D3EC2" w:rsidRPr="00963BF4">
        <w:rPr>
          <w:rFonts w:ascii="Arial" w:hAnsi="Arial" w:cs="Arial"/>
          <w:sz w:val="24"/>
          <w:szCs w:val="24"/>
        </w:rPr>
        <w:t>niniejsz</w:t>
      </w:r>
      <w:r w:rsidR="006570F2" w:rsidRPr="00963BF4">
        <w:rPr>
          <w:rFonts w:ascii="Arial" w:hAnsi="Arial" w:cs="Arial"/>
          <w:sz w:val="24"/>
          <w:szCs w:val="24"/>
        </w:rPr>
        <w:t>ego</w:t>
      </w:r>
      <w:r w:rsidR="007D3EC2" w:rsidRPr="00963BF4">
        <w:rPr>
          <w:rFonts w:ascii="Arial" w:hAnsi="Arial" w:cs="Arial"/>
          <w:sz w:val="24"/>
          <w:szCs w:val="24"/>
        </w:rPr>
        <w:t xml:space="preserve"> zarządzeni</w:t>
      </w:r>
      <w:r w:rsidR="006570F2" w:rsidRPr="00963BF4">
        <w:rPr>
          <w:rFonts w:ascii="Arial" w:hAnsi="Arial" w:cs="Arial"/>
          <w:sz w:val="24"/>
          <w:szCs w:val="24"/>
        </w:rPr>
        <w:t>a</w:t>
      </w:r>
      <w:r w:rsidR="007D3EC2" w:rsidRPr="00963BF4">
        <w:rPr>
          <w:rFonts w:ascii="Arial" w:hAnsi="Arial" w:cs="Arial"/>
          <w:sz w:val="24"/>
          <w:szCs w:val="24"/>
        </w:rPr>
        <w:t xml:space="preserve"> ma</w:t>
      </w:r>
      <w:r w:rsidRPr="00963BF4">
        <w:rPr>
          <w:rFonts w:ascii="Arial" w:hAnsi="Arial" w:cs="Arial"/>
          <w:sz w:val="24"/>
          <w:szCs w:val="24"/>
        </w:rPr>
        <w:t>ją</w:t>
      </w:r>
      <w:r w:rsidR="007D3EC2" w:rsidRPr="00963BF4">
        <w:rPr>
          <w:rFonts w:ascii="Arial" w:hAnsi="Arial" w:cs="Arial"/>
          <w:sz w:val="24"/>
          <w:szCs w:val="24"/>
        </w:rPr>
        <w:t xml:space="preserve"> na celu</w:t>
      </w:r>
      <w:r w:rsidR="00E826DF" w:rsidRPr="00963BF4">
        <w:rPr>
          <w:rFonts w:ascii="Arial" w:hAnsi="Arial" w:cs="Arial"/>
          <w:sz w:val="24"/>
          <w:szCs w:val="24"/>
        </w:rPr>
        <w:t xml:space="preserve"> </w:t>
      </w:r>
      <w:r w:rsidR="00BF1B65" w:rsidRPr="00963BF4">
        <w:rPr>
          <w:rFonts w:ascii="Arial" w:hAnsi="Arial" w:cs="Arial"/>
          <w:sz w:val="24"/>
          <w:szCs w:val="24"/>
        </w:rPr>
        <w:t>wzrost</w:t>
      </w:r>
      <w:r w:rsidR="00CA3AE9" w:rsidRPr="00963BF4">
        <w:rPr>
          <w:rFonts w:ascii="Arial" w:hAnsi="Arial" w:cs="Arial"/>
          <w:sz w:val="24"/>
          <w:szCs w:val="24"/>
        </w:rPr>
        <w:t xml:space="preserve"> </w:t>
      </w:r>
      <w:r w:rsidR="006570F2" w:rsidRPr="00963BF4">
        <w:rPr>
          <w:rFonts w:ascii="Arial" w:hAnsi="Arial" w:cs="Arial"/>
          <w:sz w:val="24"/>
          <w:szCs w:val="24"/>
        </w:rPr>
        <w:t xml:space="preserve">dostępności do świadczeń </w:t>
      </w:r>
      <w:r w:rsidRPr="00963BF4">
        <w:rPr>
          <w:rFonts w:ascii="Arial" w:hAnsi="Arial" w:cs="Arial"/>
          <w:sz w:val="24"/>
          <w:szCs w:val="24"/>
        </w:rPr>
        <w:t xml:space="preserve">z zakresu </w:t>
      </w:r>
      <w:r w:rsidR="002A038B">
        <w:rPr>
          <w:rFonts w:ascii="Arial" w:hAnsi="Arial" w:cs="Arial"/>
          <w:sz w:val="24"/>
          <w:szCs w:val="24"/>
        </w:rPr>
        <w:t xml:space="preserve">podstawowej </w:t>
      </w:r>
      <w:r w:rsidRPr="00963BF4">
        <w:rPr>
          <w:rFonts w:ascii="Arial" w:hAnsi="Arial" w:cs="Arial"/>
          <w:sz w:val="24"/>
          <w:szCs w:val="24"/>
        </w:rPr>
        <w:t>o</w:t>
      </w:r>
      <w:r w:rsidR="002A038B">
        <w:rPr>
          <w:rFonts w:ascii="Arial" w:hAnsi="Arial" w:cs="Arial"/>
          <w:sz w:val="24"/>
          <w:szCs w:val="24"/>
        </w:rPr>
        <w:t xml:space="preserve">pieki </w:t>
      </w:r>
      <w:r w:rsidR="002A038B" w:rsidRPr="00963BF4">
        <w:rPr>
          <w:rFonts w:ascii="Arial" w:hAnsi="Arial" w:cs="Arial"/>
          <w:sz w:val="24"/>
          <w:szCs w:val="24"/>
        </w:rPr>
        <w:t>z</w:t>
      </w:r>
      <w:r w:rsidR="002A038B">
        <w:rPr>
          <w:rFonts w:ascii="Arial" w:hAnsi="Arial" w:cs="Arial"/>
          <w:sz w:val="24"/>
          <w:szCs w:val="24"/>
        </w:rPr>
        <w:t>drowotnej (POZ) w </w:t>
      </w:r>
      <w:r w:rsidR="00AB2A91" w:rsidRPr="00963BF4">
        <w:rPr>
          <w:rFonts w:ascii="Arial" w:hAnsi="Arial" w:cs="Arial"/>
          <w:sz w:val="24"/>
          <w:szCs w:val="24"/>
        </w:rPr>
        <w:t>warunkach ambulatoryjnych w</w:t>
      </w:r>
      <w:r w:rsidR="0016014A">
        <w:rPr>
          <w:rFonts w:ascii="Arial" w:hAnsi="Arial" w:cs="Arial"/>
          <w:sz w:val="24"/>
          <w:szCs w:val="24"/>
        </w:rPr>
        <w:t xml:space="preserve"> bezpośrednim kontakcie ze </w:t>
      </w:r>
      <w:r w:rsidR="00AB2A91" w:rsidRPr="00963BF4">
        <w:rPr>
          <w:rFonts w:ascii="Arial" w:hAnsi="Arial" w:cs="Arial"/>
          <w:sz w:val="24"/>
          <w:szCs w:val="24"/>
        </w:rPr>
        <w:t xml:space="preserve">świadczeniobiorcą, poprzez zróżnicowanie wysokości </w:t>
      </w:r>
      <w:r w:rsidR="00B72230" w:rsidRPr="00963BF4">
        <w:rPr>
          <w:rFonts w:ascii="Arial" w:hAnsi="Arial" w:cs="Arial"/>
          <w:sz w:val="24"/>
          <w:szCs w:val="24"/>
        </w:rPr>
        <w:t xml:space="preserve">stawki </w:t>
      </w:r>
      <w:proofErr w:type="spellStart"/>
      <w:r w:rsidR="00B72230" w:rsidRPr="00963BF4">
        <w:rPr>
          <w:rFonts w:ascii="Arial" w:hAnsi="Arial" w:cs="Arial"/>
          <w:sz w:val="24"/>
          <w:szCs w:val="24"/>
        </w:rPr>
        <w:t>kapitacyjnej</w:t>
      </w:r>
      <w:proofErr w:type="spellEnd"/>
      <w:r w:rsidR="009C3286" w:rsidRPr="00963BF4">
        <w:rPr>
          <w:rFonts w:ascii="Arial" w:hAnsi="Arial" w:cs="Arial"/>
          <w:sz w:val="24"/>
          <w:szCs w:val="24"/>
        </w:rPr>
        <w:t xml:space="preserve">: </w:t>
      </w:r>
    </w:p>
    <w:p w:rsidR="008C29A6" w:rsidRPr="00963BF4" w:rsidRDefault="002A038B" w:rsidP="002A038B">
      <w:pPr>
        <w:pStyle w:val="Tekstprzypisudolnego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C3286" w:rsidRPr="00963BF4">
        <w:rPr>
          <w:rFonts w:ascii="Arial" w:hAnsi="Arial" w:cs="Arial"/>
          <w:sz w:val="24"/>
          <w:szCs w:val="24"/>
        </w:rPr>
        <w:t xml:space="preserve"> okresie od 1 lipca 2021 r. do 31 sierpnia 2021 r. – stawka </w:t>
      </w:r>
      <w:proofErr w:type="spellStart"/>
      <w:r w:rsidR="009C3286" w:rsidRPr="00963BF4">
        <w:rPr>
          <w:rFonts w:ascii="Arial" w:hAnsi="Arial" w:cs="Arial"/>
          <w:sz w:val="24"/>
          <w:szCs w:val="24"/>
        </w:rPr>
        <w:t>kapitacyjna</w:t>
      </w:r>
      <w:proofErr w:type="spellEnd"/>
      <w:r w:rsidR="004D22CF" w:rsidRPr="00963BF4">
        <w:rPr>
          <w:rFonts w:ascii="Arial" w:hAnsi="Arial" w:cs="Arial"/>
          <w:sz w:val="24"/>
          <w:szCs w:val="24"/>
        </w:rPr>
        <w:t xml:space="preserve"> lekarza </w:t>
      </w:r>
      <w:proofErr w:type="spellStart"/>
      <w:r w:rsidR="004D22CF" w:rsidRPr="00963BF4">
        <w:rPr>
          <w:rFonts w:ascii="Arial" w:hAnsi="Arial" w:cs="Arial"/>
          <w:sz w:val="24"/>
          <w:szCs w:val="24"/>
        </w:rPr>
        <w:t>poz</w:t>
      </w:r>
      <w:proofErr w:type="spellEnd"/>
      <w:r w:rsidR="009C3286" w:rsidRPr="00963BF4">
        <w:rPr>
          <w:rFonts w:ascii="Arial" w:hAnsi="Arial" w:cs="Arial"/>
          <w:sz w:val="24"/>
          <w:szCs w:val="24"/>
        </w:rPr>
        <w:t xml:space="preserve"> będzie zależna od stałych progów udziału </w:t>
      </w:r>
      <w:proofErr w:type="spellStart"/>
      <w:r w:rsidR="009C3286" w:rsidRPr="00963BF4">
        <w:rPr>
          <w:rFonts w:ascii="Arial" w:hAnsi="Arial" w:cs="Arial"/>
          <w:sz w:val="24"/>
          <w:szCs w:val="24"/>
        </w:rPr>
        <w:t>teleporad</w:t>
      </w:r>
      <w:proofErr w:type="spellEnd"/>
      <w:r w:rsidR="004D22CF" w:rsidRPr="00963BF4">
        <w:rPr>
          <w:rFonts w:ascii="Arial" w:hAnsi="Arial" w:cs="Arial"/>
          <w:sz w:val="24"/>
          <w:szCs w:val="24"/>
        </w:rPr>
        <w:t>.</w:t>
      </w:r>
      <w:r w:rsidR="006664DA">
        <w:rPr>
          <w:rFonts w:ascii="Arial" w:hAnsi="Arial" w:cs="Arial"/>
          <w:sz w:val="24"/>
          <w:szCs w:val="24"/>
        </w:rPr>
        <w:t xml:space="preserve"> Stawki te zostały określone w </w:t>
      </w:r>
      <w:r w:rsidR="009C3286" w:rsidRPr="00963BF4">
        <w:rPr>
          <w:rFonts w:ascii="Arial" w:hAnsi="Arial" w:cs="Arial"/>
          <w:sz w:val="24"/>
          <w:szCs w:val="24"/>
        </w:rPr>
        <w:t>załączniku nr 1 do zarządzenia (zał</w:t>
      </w:r>
      <w:r>
        <w:rPr>
          <w:rFonts w:ascii="Arial" w:hAnsi="Arial" w:cs="Arial"/>
          <w:sz w:val="24"/>
          <w:szCs w:val="24"/>
        </w:rPr>
        <w:t>ącznik otrzymał nowe brzmienie);</w:t>
      </w:r>
      <w:r w:rsidR="009C3286" w:rsidRPr="00963BF4">
        <w:rPr>
          <w:rFonts w:ascii="Arial" w:hAnsi="Arial" w:cs="Arial"/>
          <w:sz w:val="24"/>
          <w:szCs w:val="24"/>
        </w:rPr>
        <w:t xml:space="preserve"> </w:t>
      </w:r>
    </w:p>
    <w:p w:rsidR="00AB2A91" w:rsidRPr="00963BF4" w:rsidRDefault="002A038B" w:rsidP="009C3286">
      <w:pPr>
        <w:pStyle w:val="Tekstprzypisudolnego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8C29A6" w:rsidRPr="00963BF4">
        <w:rPr>
          <w:rFonts w:ascii="Arial" w:hAnsi="Arial" w:cs="Arial"/>
          <w:sz w:val="24"/>
          <w:szCs w:val="24"/>
        </w:rPr>
        <w:t>d września 2021 r. s</w:t>
      </w:r>
      <w:r w:rsidR="00F62DF5" w:rsidRPr="00963BF4">
        <w:rPr>
          <w:rFonts w:ascii="Arial" w:hAnsi="Arial" w:cs="Arial"/>
          <w:sz w:val="24"/>
          <w:szCs w:val="24"/>
        </w:rPr>
        <w:t xml:space="preserve">tawka </w:t>
      </w:r>
      <w:proofErr w:type="spellStart"/>
      <w:r w:rsidR="00F62DF5" w:rsidRPr="00963BF4">
        <w:rPr>
          <w:rFonts w:ascii="Arial" w:hAnsi="Arial" w:cs="Arial"/>
          <w:sz w:val="24"/>
          <w:szCs w:val="24"/>
        </w:rPr>
        <w:t>kapitacyjna</w:t>
      </w:r>
      <w:proofErr w:type="spellEnd"/>
      <w:r w:rsidR="004D22CF" w:rsidRPr="00963BF4">
        <w:rPr>
          <w:rFonts w:ascii="Arial" w:hAnsi="Arial" w:cs="Arial"/>
          <w:sz w:val="24"/>
          <w:szCs w:val="24"/>
        </w:rPr>
        <w:t xml:space="preserve"> lekarza </w:t>
      </w:r>
      <w:proofErr w:type="spellStart"/>
      <w:r w:rsidR="004D22CF" w:rsidRPr="00963BF4">
        <w:rPr>
          <w:rFonts w:ascii="Arial" w:hAnsi="Arial" w:cs="Arial"/>
          <w:sz w:val="24"/>
          <w:szCs w:val="24"/>
        </w:rPr>
        <w:t>poz</w:t>
      </w:r>
      <w:proofErr w:type="spellEnd"/>
      <w:r w:rsidR="00F62DF5" w:rsidRPr="00963BF4">
        <w:rPr>
          <w:rFonts w:ascii="Arial" w:hAnsi="Arial" w:cs="Arial"/>
          <w:sz w:val="24"/>
          <w:szCs w:val="24"/>
        </w:rPr>
        <w:t xml:space="preserve"> będzie </w:t>
      </w:r>
      <w:r w:rsidR="008B2A6E" w:rsidRPr="00963BF4">
        <w:rPr>
          <w:rFonts w:ascii="Arial" w:hAnsi="Arial" w:cs="Arial"/>
          <w:sz w:val="24"/>
          <w:szCs w:val="24"/>
        </w:rPr>
        <w:t>zależna</w:t>
      </w:r>
      <w:r w:rsidR="00F62DF5" w:rsidRPr="00963BF4">
        <w:rPr>
          <w:rFonts w:ascii="Arial" w:hAnsi="Arial" w:cs="Arial"/>
          <w:sz w:val="24"/>
          <w:szCs w:val="24"/>
        </w:rPr>
        <w:t xml:space="preserve"> od </w:t>
      </w:r>
      <w:r w:rsidR="00DA00A0" w:rsidRPr="00963BF4">
        <w:rPr>
          <w:rFonts w:ascii="Arial" w:hAnsi="Arial" w:cs="Arial"/>
          <w:sz w:val="24"/>
          <w:szCs w:val="24"/>
        </w:rPr>
        <w:t xml:space="preserve">udziału </w:t>
      </w:r>
      <w:proofErr w:type="spellStart"/>
      <w:r w:rsidR="00DA00A0" w:rsidRPr="00963BF4">
        <w:rPr>
          <w:rFonts w:ascii="Arial" w:hAnsi="Arial" w:cs="Arial"/>
          <w:sz w:val="24"/>
          <w:szCs w:val="24"/>
        </w:rPr>
        <w:t>teleporad</w:t>
      </w:r>
      <w:proofErr w:type="spellEnd"/>
      <w:r w:rsidR="00DA00A0" w:rsidRPr="00963BF4">
        <w:rPr>
          <w:rFonts w:ascii="Arial" w:hAnsi="Arial" w:cs="Arial"/>
          <w:sz w:val="24"/>
          <w:szCs w:val="24"/>
        </w:rPr>
        <w:t xml:space="preserve"> we wszystkich poradach POZ u danego świadczeniodawcy</w:t>
      </w:r>
      <w:r w:rsidR="00F62DF5" w:rsidRPr="00963BF4">
        <w:rPr>
          <w:rFonts w:ascii="Arial" w:hAnsi="Arial" w:cs="Arial"/>
          <w:sz w:val="24"/>
          <w:szCs w:val="24"/>
        </w:rPr>
        <w:t xml:space="preserve"> </w:t>
      </w:r>
      <w:r w:rsidR="00DA00A0" w:rsidRPr="00963BF4">
        <w:rPr>
          <w:rFonts w:ascii="Arial" w:hAnsi="Arial" w:cs="Arial"/>
          <w:sz w:val="24"/>
          <w:szCs w:val="24"/>
        </w:rPr>
        <w:t xml:space="preserve">na podstawie </w:t>
      </w:r>
      <w:r w:rsidR="00B25CEE" w:rsidRPr="00963BF4">
        <w:rPr>
          <w:rFonts w:ascii="Arial" w:hAnsi="Arial" w:cs="Arial"/>
          <w:sz w:val="24"/>
          <w:szCs w:val="24"/>
        </w:rPr>
        <w:t>informacji o</w:t>
      </w:r>
      <w:r w:rsidR="008D2002" w:rsidRPr="00963BF4">
        <w:rPr>
          <w:rFonts w:ascii="Arial" w:hAnsi="Arial" w:cs="Arial"/>
          <w:sz w:val="24"/>
          <w:szCs w:val="24"/>
        </w:rPr>
        <w:t> </w:t>
      </w:r>
      <w:r w:rsidR="00F62DF5" w:rsidRPr="00963BF4">
        <w:rPr>
          <w:rFonts w:ascii="Arial" w:hAnsi="Arial" w:cs="Arial"/>
          <w:sz w:val="24"/>
          <w:szCs w:val="24"/>
        </w:rPr>
        <w:t xml:space="preserve">wartości mediany dla udziału </w:t>
      </w:r>
      <w:proofErr w:type="spellStart"/>
      <w:r w:rsidR="00F62DF5" w:rsidRPr="00963BF4">
        <w:rPr>
          <w:rFonts w:ascii="Arial" w:hAnsi="Arial" w:cs="Arial"/>
          <w:sz w:val="24"/>
          <w:szCs w:val="24"/>
        </w:rPr>
        <w:t>teleporad</w:t>
      </w:r>
      <w:proofErr w:type="spellEnd"/>
      <w:r w:rsidR="00F62DF5" w:rsidRPr="00963BF4">
        <w:rPr>
          <w:rFonts w:ascii="Arial" w:hAnsi="Arial" w:cs="Arial"/>
          <w:sz w:val="24"/>
          <w:szCs w:val="24"/>
        </w:rPr>
        <w:t xml:space="preserve"> we wszystkich poradach  POZ w skali całego kraju</w:t>
      </w:r>
      <w:r w:rsidR="00AB2A91" w:rsidRPr="00963BF4">
        <w:rPr>
          <w:rFonts w:ascii="Arial" w:hAnsi="Arial" w:cs="Arial"/>
          <w:sz w:val="24"/>
          <w:szCs w:val="24"/>
        </w:rPr>
        <w:t xml:space="preserve">. </w:t>
      </w:r>
      <w:r w:rsidR="00DA00A0" w:rsidRPr="00963BF4">
        <w:rPr>
          <w:rFonts w:ascii="Arial" w:hAnsi="Arial" w:cs="Arial"/>
          <w:sz w:val="24"/>
          <w:szCs w:val="24"/>
        </w:rPr>
        <w:t xml:space="preserve">Wartość mediany będzie comiesięcznie publikowana na stronie internetowej Centrali NFZ. </w:t>
      </w:r>
    </w:p>
    <w:p w:rsidR="00B72230" w:rsidRPr="00963BF4" w:rsidRDefault="00B72230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D0400" w:rsidRPr="00963BF4" w:rsidRDefault="006D0400" w:rsidP="00C31155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63BF4">
        <w:rPr>
          <w:rFonts w:ascii="Arial" w:hAnsi="Arial" w:cs="Arial"/>
          <w:sz w:val="24"/>
          <w:szCs w:val="24"/>
        </w:rPr>
        <w:t>Dodatkowo w zarządzeniu doprecyzowano, że opieka nad pacjentami chorymi przewlekle, objętymi współczynnikiem korygującym 3,2</w:t>
      </w:r>
      <w:r w:rsidR="0016014A">
        <w:rPr>
          <w:rFonts w:ascii="Arial" w:hAnsi="Arial" w:cs="Arial"/>
          <w:sz w:val="24"/>
          <w:szCs w:val="24"/>
        </w:rPr>
        <w:t>,</w:t>
      </w:r>
      <w:r w:rsidRPr="00963BF4">
        <w:rPr>
          <w:rFonts w:ascii="Arial" w:hAnsi="Arial" w:cs="Arial"/>
          <w:sz w:val="24"/>
          <w:szCs w:val="24"/>
        </w:rPr>
        <w:t xml:space="preserve"> wymaga co najmniej jednej porady kwartalnie w bezpośrednim kontakcie z lekarzem.</w:t>
      </w:r>
    </w:p>
    <w:p w:rsidR="008A2616" w:rsidRDefault="008A2616" w:rsidP="002A038B">
      <w:pPr>
        <w:pStyle w:val="Tekstprzypisudolnego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A2616">
        <w:rPr>
          <w:rFonts w:ascii="Arial" w:hAnsi="Arial" w:cs="Arial"/>
          <w:sz w:val="24"/>
          <w:szCs w:val="24"/>
        </w:rPr>
        <w:t>W zarządzeniu wprowadzono również możliwość realizacji świadczeń w zakresie podstawowej opieki zdrowotnej</w:t>
      </w:r>
      <w:r>
        <w:rPr>
          <w:rFonts w:ascii="Arial" w:hAnsi="Arial" w:cs="Arial"/>
          <w:sz w:val="24"/>
          <w:szCs w:val="24"/>
        </w:rPr>
        <w:t xml:space="preserve"> </w:t>
      </w:r>
      <w:r w:rsidRPr="008A2616">
        <w:rPr>
          <w:rFonts w:ascii="Arial" w:hAnsi="Arial" w:cs="Arial"/>
          <w:sz w:val="24"/>
          <w:szCs w:val="24"/>
        </w:rPr>
        <w:t xml:space="preserve">świadczeniobiorcom, którzy złożyli deklarację wyboru do świadczeniodawcy, którego umowa o udzielanie świadczeń opieki zdrowotnej </w:t>
      </w:r>
      <w:r w:rsidR="00E73924">
        <w:rPr>
          <w:rFonts w:ascii="Arial" w:hAnsi="Arial" w:cs="Arial"/>
          <w:sz w:val="24"/>
          <w:szCs w:val="24"/>
        </w:rPr>
        <w:br/>
      </w:r>
      <w:r w:rsidRPr="008A2616">
        <w:rPr>
          <w:rFonts w:ascii="Arial" w:hAnsi="Arial" w:cs="Arial"/>
          <w:sz w:val="24"/>
          <w:szCs w:val="24"/>
        </w:rPr>
        <w:t>w zakresie podstawowej opieki zdrowotnej wygasła lub została rozwiązana</w:t>
      </w:r>
      <w:r>
        <w:rPr>
          <w:rFonts w:ascii="Arial" w:hAnsi="Arial" w:cs="Arial"/>
          <w:sz w:val="24"/>
          <w:szCs w:val="24"/>
        </w:rPr>
        <w:t xml:space="preserve"> – przez inne podmioty. Rozwiązanie to jest czasowe, tj. w okresie </w:t>
      </w:r>
      <w:r w:rsidRPr="008A2616">
        <w:rPr>
          <w:rFonts w:ascii="Arial" w:hAnsi="Arial" w:cs="Arial"/>
          <w:sz w:val="24"/>
          <w:szCs w:val="24"/>
        </w:rPr>
        <w:t>od 1 lipca 2021 r. do 31 sierpnia 2021 r.</w:t>
      </w:r>
    </w:p>
    <w:p w:rsidR="008A2616" w:rsidRDefault="008A2616" w:rsidP="00C31155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Zmodyfikowano również zasady dotyczące składania wniosków o zawa</w:t>
      </w:r>
      <w:r w:rsidR="002A038B">
        <w:rPr>
          <w:rFonts w:ascii="Arial" w:hAnsi="Arial" w:cs="Arial"/>
          <w:sz w:val="24"/>
          <w:szCs w:val="24"/>
        </w:rPr>
        <w:t xml:space="preserve">rcie umów znosząc obowiązek na podstawie którego </w:t>
      </w:r>
      <w:r>
        <w:rPr>
          <w:rFonts w:ascii="Arial" w:hAnsi="Arial" w:cs="Arial"/>
          <w:sz w:val="24"/>
          <w:szCs w:val="24"/>
        </w:rPr>
        <w:t xml:space="preserve">wniosek musi być złożony do </w:t>
      </w:r>
      <w:r w:rsidRPr="008A2616">
        <w:rPr>
          <w:rFonts w:ascii="Arial" w:hAnsi="Arial" w:cs="Arial"/>
          <w:sz w:val="24"/>
          <w:szCs w:val="24"/>
        </w:rPr>
        <w:t>10. dnia każdego miesiąca.</w:t>
      </w:r>
    </w:p>
    <w:p w:rsidR="008C29A6" w:rsidRDefault="008C29A6" w:rsidP="008A2616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72230" w:rsidRDefault="009C3286" w:rsidP="00C31155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B72230" w:rsidRPr="00413AA5">
        <w:rPr>
          <w:rFonts w:ascii="Arial" w:hAnsi="Arial" w:cs="Arial"/>
          <w:sz w:val="24"/>
          <w:szCs w:val="24"/>
        </w:rPr>
        <w:t xml:space="preserve">owyższe </w:t>
      </w:r>
      <w:r w:rsidR="00B72230">
        <w:rPr>
          <w:rFonts w:ascii="Arial" w:hAnsi="Arial" w:cs="Arial"/>
          <w:sz w:val="24"/>
          <w:szCs w:val="24"/>
        </w:rPr>
        <w:t xml:space="preserve">zmiany </w:t>
      </w:r>
      <w:r w:rsidR="00B72230" w:rsidRPr="00413AA5">
        <w:rPr>
          <w:rFonts w:ascii="Arial" w:hAnsi="Arial" w:cs="Arial"/>
          <w:sz w:val="24"/>
          <w:szCs w:val="24"/>
        </w:rPr>
        <w:t>ma</w:t>
      </w:r>
      <w:r w:rsidR="00B72230">
        <w:rPr>
          <w:rFonts w:ascii="Arial" w:hAnsi="Arial" w:cs="Arial"/>
          <w:sz w:val="24"/>
          <w:szCs w:val="24"/>
        </w:rPr>
        <w:t>ją</w:t>
      </w:r>
      <w:r w:rsidR="00B72230" w:rsidRPr="00413AA5">
        <w:rPr>
          <w:rFonts w:ascii="Arial" w:hAnsi="Arial" w:cs="Arial"/>
          <w:sz w:val="24"/>
          <w:szCs w:val="24"/>
        </w:rPr>
        <w:t xml:space="preserve"> związek z przeprowadzoną analizą udzielania świadczeń </w:t>
      </w:r>
      <w:r w:rsidR="00E73924">
        <w:rPr>
          <w:rFonts w:ascii="Arial" w:hAnsi="Arial" w:cs="Arial"/>
          <w:sz w:val="24"/>
          <w:szCs w:val="24"/>
        </w:rPr>
        <w:br/>
      </w:r>
      <w:r w:rsidR="00B72230" w:rsidRPr="00413AA5">
        <w:rPr>
          <w:rFonts w:ascii="Arial" w:hAnsi="Arial" w:cs="Arial"/>
          <w:sz w:val="24"/>
          <w:szCs w:val="24"/>
        </w:rPr>
        <w:t xml:space="preserve">w POZ, z której wynika, że blisko 40% świadczeniodawców udziela powyżej </w:t>
      </w:r>
      <w:r w:rsidR="00B72230">
        <w:rPr>
          <w:rFonts w:ascii="Arial" w:hAnsi="Arial" w:cs="Arial"/>
          <w:sz w:val="24"/>
          <w:szCs w:val="24"/>
        </w:rPr>
        <w:t>połowy liczby</w:t>
      </w:r>
      <w:r w:rsidR="00B72230" w:rsidRPr="00413AA5">
        <w:rPr>
          <w:rFonts w:ascii="Arial" w:hAnsi="Arial" w:cs="Arial"/>
          <w:sz w:val="24"/>
          <w:szCs w:val="24"/>
        </w:rPr>
        <w:t xml:space="preserve"> porad w formie zdalnej komunikacji z pacjentem. Skrajny przykład stanowi realizacja świadczeń na terenie województwa Kujawsko – Pomorskiego, gdzie udział </w:t>
      </w:r>
      <w:proofErr w:type="spellStart"/>
      <w:r w:rsidR="00B72230" w:rsidRPr="00413AA5">
        <w:rPr>
          <w:rFonts w:ascii="Arial" w:hAnsi="Arial" w:cs="Arial"/>
          <w:sz w:val="24"/>
          <w:szCs w:val="24"/>
        </w:rPr>
        <w:t>teleporad</w:t>
      </w:r>
      <w:proofErr w:type="spellEnd"/>
      <w:r w:rsidR="00B72230" w:rsidRPr="00413AA5">
        <w:rPr>
          <w:rFonts w:ascii="Arial" w:hAnsi="Arial" w:cs="Arial"/>
          <w:sz w:val="24"/>
          <w:szCs w:val="24"/>
        </w:rPr>
        <w:t xml:space="preserve"> wynosi aż 81%. Na terenie kraju ponad 1200 świadczeniodawców udzielających świadczeń POZ sprawozdaje powyżej 70 % udziału </w:t>
      </w:r>
      <w:proofErr w:type="spellStart"/>
      <w:r w:rsidR="00B72230" w:rsidRPr="00413AA5">
        <w:rPr>
          <w:rFonts w:ascii="Arial" w:hAnsi="Arial" w:cs="Arial"/>
          <w:sz w:val="24"/>
          <w:szCs w:val="24"/>
        </w:rPr>
        <w:t>teleporad</w:t>
      </w:r>
      <w:proofErr w:type="spellEnd"/>
      <w:r w:rsidR="00B72230" w:rsidRPr="00413AA5">
        <w:rPr>
          <w:rFonts w:ascii="Arial" w:hAnsi="Arial" w:cs="Arial"/>
          <w:sz w:val="24"/>
          <w:szCs w:val="24"/>
        </w:rPr>
        <w:t xml:space="preserve">, z czego </w:t>
      </w:r>
      <w:r w:rsidR="00E73924">
        <w:rPr>
          <w:rFonts w:ascii="Arial" w:hAnsi="Arial" w:cs="Arial"/>
          <w:sz w:val="24"/>
          <w:szCs w:val="24"/>
        </w:rPr>
        <w:br/>
      </w:r>
      <w:r w:rsidR="00B72230" w:rsidRPr="00413AA5">
        <w:rPr>
          <w:rFonts w:ascii="Arial" w:hAnsi="Arial" w:cs="Arial"/>
          <w:sz w:val="24"/>
          <w:szCs w:val="24"/>
        </w:rPr>
        <w:t>w ponad 400 podmiotach t</w:t>
      </w:r>
      <w:r w:rsidR="00E73924">
        <w:rPr>
          <w:rFonts w:ascii="Arial" w:hAnsi="Arial" w:cs="Arial"/>
          <w:sz w:val="24"/>
          <w:szCs w:val="24"/>
        </w:rPr>
        <w:t xml:space="preserve">en odsetek wynosi powyżej 90%. </w:t>
      </w:r>
      <w:r w:rsidR="00B72230" w:rsidRPr="00413AA5">
        <w:rPr>
          <w:rFonts w:ascii="Arial" w:hAnsi="Arial" w:cs="Arial"/>
          <w:sz w:val="24"/>
          <w:szCs w:val="24"/>
        </w:rPr>
        <w:t xml:space="preserve">Powyższe dane wskazują, że część świadczeniodawców </w:t>
      </w:r>
      <w:r w:rsidR="00B72230">
        <w:rPr>
          <w:rFonts w:ascii="Arial" w:hAnsi="Arial" w:cs="Arial"/>
          <w:sz w:val="24"/>
          <w:szCs w:val="24"/>
        </w:rPr>
        <w:t xml:space="preserve">może </w:t>
      </w:r>
      <w:r w:rsidR="00B72230" w:rsidRPr="00413AA5">
        <w:rPr>
          <w:rFonts w:ascii="Arial" w:hAnsi="Arial" w:cs="Arial"/>
          <w:sz w:val="24"/>
          <w:szCs w:val="24"/>
        </w:rPr>
        <w:t>nie zapewnia</w:t>
      </w:r>
      <w:r w:rsidR="00B72230">
        <w:rPr>
          <w:rFonts w:ascii="Arial" w:hAnsi="Arial" w:cs="Arial"/>
          <w:sz w:val="24"/>
          <w:szCs w:val="24"/>
        </w:rPr>
        <w:t>ć</w:t>
      </w:r>
      <w:r w:rsidR="00B72230" w:rsidRPr="00413AA5">
        <w:rPr>
          <w:rFonts w:ascii="Arial" w:hAnsi="Arial" w:cs="Arial"/>
          <w:sz w:val="24"/>
          <w:szCs w:val="24"/>
        </w:rPr>
        <w:t xml:space="preserve"> odpowiedniej jakości opieki nad pacjentami w stopniu</w:t>
      </w:r>
      <w:r w:rsidR="00B72230">
        <w:rPr>
          <w:rFonts w:ascii="Arial" w:hAnsi="Arial" w:cs="Arial"/>
          <w:sz w:val="24"/>
          <w:szCs w:val="24"/>
        </w:rPr>
        <w:t>,</w:t>
      </w:r>
      <w:r w:rsidR="00B72230" w:rsidRPr="00413AA5">
        <w:rPr>
          <w:rFonts w:ascii="Arial" w:hAnsi="Arial" w:cs="Arial"/>
          <w:sz w:val="24"/>
          <w:szCs w:val="24"/>
        </w:rPr>
        <w:t xml:space="preserve"> który gwarantuje osobisty kontakt z lekarzem. Wpływa to również niekorzystnie na właściwą realizację profilaktyki zdrowotnej.</w:t>
      </w:r>
    </w:p>
    <w:p w:rsidR="00EA49DE" w:rsidRPr="0038358D" w:rsidRDefault="00C31155" w:rsidP="00EA49DE">
      <w:pPr>
        <w:pStyle w:val="HTML-wstpniesformatowany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B72230" w:rsidRPr="0038358D">
        <w:rPr>
          <w:rFonts w:ascii="Arial" w:hAnsi="Arial" w:cs="Arial"/>
          <w:sz w:val="24"/>
          <w:szCs w:val="24"/>
        </w:rPr>
        <w:t xml:space="preserve">Należy podkreślić, że </w:t>
      </w:r>
      <w:proofErr w:type="spellStart"/>
      <w:r w:rsidR="00B72230" w:rsidRPr="0038358D">
        <w:rPr>
          <w:rFonts w:ascii="Arial" w:hAnsi="Arial" w:cs="Arial"/>
          <w:sz w:val="24"/>
          <w:szCs w:val="24"/>
        </w:rPr>
        <w:t>teleporady</w:t>
      </w:r>
      <w:proofErr w:type="spellEnd"/>
      <w:r w:rsidR="00B72230" w:rsidRPr="0038358D">
        <w:rPr>
          <w:rFonts w:ascii="Arial" w:hAnsi="Arial" w:cs="Arial"/>
          <w:sz w:val="24"/>
          <w:szCs w:val="24"/>
        </w:rPr>
        <w:t xml:space="preserve"> zostały prawnie dopuszczone jako jeden </w:t>
      </w:r>
      <w:r w:rsidR="006664DA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B72230" w:rsidRPr="0038358D">
        <w:rPr>
          <w:rFonts w:ascii="Arial" w:hAnsi="Arial" w:cs="Arial"/>
          <w:sz w:val="24"/>
          <w:szCs w:val="24"/>
        </w:rPr>
        <w:t>z trybów realizacji świadczeń, w tym w POZ, ale nie powinny stanowić wyłącznej</w:t>
      </w:r>
      <w:r w:rsidR="00155ABA">
        <w:rPr>
          <w:rFonts w:ascii="Arial" w:hAnsi="Arial" w:cs="Arial"/>
          <w:sz w:val="24"/>
          <w:szCs w:val="24"/>
        </w:rPr>
        <w:t>/</w:t>
      </w:r>
      <w:proofErr w:type="spellStart"/>
      <w:r w:rsidR="00155ABA">
        <w:rPr>
          <w:rFonts w:ascii="Arial" w:hAnsi="Arial" w:cs="Arial"/>
          <w:sz w:val="24"/>
          <w:szCs w:val="24"/>
        </w:rPr>
        <w:t>dominujacej</w:t>
      </w:r>
      <w:proofErr w:type="spellEnd"/>
      <w:r w:rsidR="00B72230" w:rsidRPr="0038358D">
        <w:rPr>
          <w:rFonts w:ascii="Arial" w:hAnsi="Arial" w:cs="Arial"/>
          <w:sz w:val="24"/>
          <w:szCs w:val="24"/>
        </w:rPr>
        <w:t xml:space="preserve"> formy kontaktu. W wielu przypadkach są one wystarczającą formą wizyt, o ile są realizowane zgodnie </w:t>
      </w:r>
      <w:r w:rsidR="00EA49DE">
        <w:rPr>
          <w:rFonts w:ascii="Arial" w:hAnsi="Arial" w:cs="Arial"/>
          <w:sz w:val="24"/>
          <w:szCs w:val="24"/>
        </w:rPr>
        <w:t>z </w:t>
      </w:r>
      <w:r w:rsidR="00B72230" w:rsidRPr="0038358D">
        <w:rPr>
          <w:rFonts w:ascii="Arial" w:hAnsi="Arial" w:cs="Arial"/>
          <w:sz w:val="24"/>
          <w:szCs w:val="24"/>
        </w:rPr>
        <w:t>aktu</w:t>
      </w:r>
      <w:r w:rsidR="003D4311">
        <w:rPr>
          <w:rFonts w:ascii="Arial" w:hAnsi="Arial" w:cs="Arial"/>
          <w:sz w:val="24"/>
          <w:szCs w:val="24"/>
        </w:rPr>
        <w:t>alnymi wytycznymi, w szczególności</w:t>
      </w:r>
      <w:r w:rsidR="00B72230" w:rsidRPr="0038358D">
        <w:rPr>
          <w:rFonts w:ascii="Arial" w:hAnsi="Arial" w:cs="Arial"/>
          <w:sz w:val="24"/>
          <w:szCs w:val="24"/>
        </w:rPr>
        <w:t xml:space="preserve"> ze standardem organizacyjnym </w:t>
      </w:r>
      <w:proofErr w:type="spellStart"/>
      <w:r w:rsidR="00B72230" w:rsidRPr="0038358D">
        <w:rPr>
          <w:rFonts w:ascii="Arial" w:hAnsi="Arial" w:cs="Arial"/>
          <w:sz w:val="24"/>
          <w:szCs w:val="24"/>
        </w:rPr>
        <w:t>teleporady</w:t>
      </w:r>
      <w:proofErr w:type="spellEnd"/>
      <w:r w:rsidR="00B72230" w:rsidRPr="0038358D">
        <w:rPr>
          <w:rFonts w:ascii="Arial" w:hAnsi="Arial" w:cs="Arial"/>
          <w:sz w:val="24"/>
          <w:szCs w:val="24"/>
        </w:rPr>
        <w:t xml:space="preserve"> w ramach podstawowej opi</w:t>
      </w:r>
      <w:r w:rsidR="00EA49DE">
        <w:rPr>
          <w:rFonts w:ascii="Arial" w:hAnsi="Arial" w:cs="Arial"/>
          <w:sz w:val="24"/>
          <w:szCs w:val="24"/>
        </w:rPr>
        <w:t xml:space="preserve">eki zdrowotnej </w:t>
      </w:r>
      <w:r w:rsidR="003D4311">
        <w:rPr>
          <w:rFonts w:ascii="Arial" w:hAnsi="Arial" w:cs="Arial"/>
          <w:sz w:val="24"/>
          <w:szCs w:val="24"/>
        </w:rPr>
        <w:t>(</w:t>
      </w:r>
      <w:r w:rsidR="00F603C9">
        <w:rPr>
          <w:rFonts w:ascii="Arial" w:hAnsi="Arial" w:cs="Arial"/>
          <w:sz w:val="24"/>
          <w:szCs w:val="24"/>
        </w:rPr>
        <w:t>określonym w rozporządzeniu Ministra Zdrowia z dnia 12 sierpnia 2020 r. w sprawie standar</w:t>
      </w:r>
      <w:r w:rsidR="003D4311">
        <w:rPr>
          <w:rFonts w:ascii="Arial" w:hAnsi="Arial" w:cs="Arial"/>
          <w:sz w:val="24"/>
          <w:szCs w:val="24"/>
        </w:rPr>
        <w:t xml:space="preserve">du organizacyjnego </w:t>
      </w:r>
      <w:proofErr w:type="spellStart"/>
      <w:r w:rsidR="003D4311">
        <w:rPr>
          <w:rFonts w:ascii="Arial" w:hAnsi="Arial" w:cs="Arial"/>
          <w:sz w:val="24"/>
          <w:szCs w:val="24"/>
        </w:rPr>
        <w:t>teleporady</w:t>
      </w:r>
      <w:proofErr w:type="spellEnd"/>
      <w:r w:rsidR="003D4311">
        <w:rPr>
          <w:rFonts w:ascii="Arial" w:hAnsi="Arial" w:cs="Arial"/>
          <w:sz w:val="24"/>
          <w:szCs w:val="24"/>
        </w:rPr>
        <w:t xml:space="preserve"> w </w:t>
      </w:r>
      <w:r w:rsidR="00F603C9">
        <w:rPr>
          <w:rFonts w:ascii="Arial" w:hAnsi="Arial" w:cs="Arial"/>
          <w:sz w:val="24"/>
          <w:szCs w:val="24"/>
        </w:rPr>
        <w:t xml:space="preserve">ramach podstawowej opieki zdrowotnej </w:t>
      </w:r>
      <w:r w:rsidR="003D4311">
        <w:rPr>
          <w:rFonts w:ascii="Arial" w:hAnsi="Arial" w:cs="Arial"/>
          <w:sz w:val="24"/>
          <w:szCs w:val="24"/>
        </w:rPr>
        <w:t xml:space="preserve">- </w:t>
      </w:r>
      <w:r w:rsidR="00EA49DE">
        <w:rPr>
          <w:rFonts w:ascii="Arial" w:hAnsi="Arial" w:cs="Arial"/>
          <w:sz w:val="24"/>
          <w:szCs w:val="24"/>
        </w:rPr>
        <w:t xml:space="preserve">Dz.U. </w:t>
      </w:r>
      <w:r w:rsidR="00B72230" w:rsidRPr="0038358D">
        <w:rPr>
          <w:rFonts w:ascii="Arial" w:hAnsi="Arial" w:cs="Arial"/>
          <w:sz w:val="24"/>
          <w:szCs w:val="24"/>
        </w:rPr>
        <w:t>poz. 1395</w:t>
      </w:r>
      <w:r w:rsidR="00F603C9">
        <w:rPr>
          <w:rFonts w:ascii="Arial" w:hAnsi="Arial" w:cs="Arial"/>
          <w:sz w:val="24"/>
          <w:szCs w:val="24"/>
        </w:rPr>
        <w:t>, z późn. zm.).</w:t>
      </w:r>
    </w:p>
    <w:p w:rsidR="00B72230" w:rsidRPr="00F603C9" w:rsidRDefault="00C31155" w:rsidP="00F603C9">
      <w:pPr>
        <w:pStyle w:val="HTML-wstpniesformatowan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 w:rsidR="00B72230" w:rsidRPr="00F603C9">
        <w:rPr>
          <w:rFonts w:ascii="Arial" w:hAnsi="Arial" w:cs="Arial"/>
          <w:sz w:val="24"/>
          <w:szCs w:val="24"/>
        </w:rPr>
        <w:t>Teleporady</w:t>
      </w:r>
      <w:proofErr w:type="spellEnd"/>
      <w:r w:rsidR="00B72230" w:rsidRPr="00F603C9">
        <w:rPr>
          <w:rFonts w:ascii="Arial" w:hAnsi="Arial" w:cs="Arial"/>
          <w:sz w:val="24"/>
          <w:szCs w:val="24"/>
        </w:rPr>
        <w:t>, czyli zdalne konsultacje z pacjentem można realizować gdy:</w:t>
      </w:r>
    </w:p>
    <w:p w:rsidR="00B72230" w:rsidRDefault="00F603C9" w:rsidP="00F603C9">
      <w:pPr>
        <w:pStyle w:val="HTML-wstpniesformatowany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603C9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B72230" w:rsidRPr="00F603C9">
        <w:rPr>
          <w:rFonts w:ascii="Arial" w:hAnsi="Arial" w:cs="Arial"/>
          <w:sz w:val="24"/>
          <w:szCs w:val="24"/>
        </w:rPr>
        <w:t>telewizyta</w:t>
      </w:r>
      <w:proofErr w:type="spellEnd"/>
      <w:r w:rsidR="00B72230" w:rsidRPr="00F603C9">
        <w:rPr>
          <w:rFonts w:ascii="Arial" w:hAnsi="Arial" w:cs="Arial"/>
          <w:sz w:val="24"/>
          <w:szCs w:val="24"/>
        </w:rPr>
        <w:t xml:space="preserve"> nie skutkuje pogorszeniem stanu zdrowia pacjenta ze względu na opóźnienie rozpoznania stanu chorobowego lub brak zastosowania właściwego postępo</w:t>
      </w:r>
      <w:r>
        <w:rPr>
          <w:rFonts w:ascii="Arial" w:hAnsi="Arial" w:cs="Arial"/>
          <w:sz w:val="24"/>
          <w:szCs w:val="24"/>
        </w:rPr>
        <w:t>wania diagnostyczno-leczniczego,</w:t>
      </w:r>
    </w:p>
    <w:p w:rsidR="00B72230" w:rsidRPr="00F603C9" w:rsidRDefault="00F603C9" w:rsidP="00F603C9">
      <w:pPr>
        <w:pStyle w:val="HTML-wstpniesformatowan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2230" w:rsidRPr="00F603C9">
        <w:rPr>
          <w:rFonts w:ascii="Arial" w:hAnsi="Arial" w:cs="Arial"/>
          <w:sz w:val="24"/>
          <w:szCs w:val="24"/>
        </w:rPr>
        <w:t>pacjent otrzyma wystarczającą pomoc zdalnie, bez konieczności osobistego kontaktu z lekarzem.</w:t>
      </w:r>
    </w:p>
    <w:p w:rsidR="0081026A" w:rsidRPr="004570D6" w:rsidRDefault="00B72230" w:rsidP="004570D6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8358D">
        <w:rPr>
          <w:rFonts w:ascii="Arial" w:hAnsi="Arial" w:cs="Arial"/>
          <w:sz w:val="24"/>
          <w:szCs w:val="24"/>
        </w:rPr>
        <w:t xml:space="preserve">Zaproponowane </w:t>
      </w:r>
      <w:r w:rsidR="00F603C9">
        <w:rPr>
          <w:rFonts w:ascii="Arial" w:hAnsi="Arial" w:cs="Arial"/>
          <w:sz w:val="24"/>
          <w:szCs w:val="24"/>
        </w:rPr>
        <w:t xml:space="preserve">w niniejszej regulacji </w:t>
      </w:r>
      <w:r>
        <w:rPr>
          <w:rFonts w:ascii="Arial" w:hAnsi="Arial" w:cs="Arial"/>
          <w:sz w:val="24"/>
          <w:szCs w:val="24"/>
        </w:rPr>
        <w:t>rozwiązania</w:t>
      </w:r>
      <w:r w:rsidRPr="0038358D">
        <w:rPr>
          <w:rFonts w:ascii="Arial" w:hAnsi="Arial" w:cs="Arial"/>
          <w:sz w:val="24"/>
          <w:szCs w:val="24"/>
        </w:rPr>
        <w:t xml:space="preserve"> nie </w:t>
      </w:r>
      <w:r>
        <w:rPr>
          <w:rFonts w:ascii="Arial" w:hAnsi="Arial" w:cs="Arial"/>
          <w:sz w:val="24"/>
          <w:szCs w:val="24"/>
        </w:rPr>
        <w:t>są</w:t>
      </w:r>
      <w:r w:rsidRPr="0038358D">
        <w:rPr>
          <w:rFonts w:ascii="Arial" w:hAnsi="Arial" w:cs="Arial"/>
          <w:sz w:val="24"/>
          <w:szCs w:val="24"/>
        </w:rPr>
        <w:t xml:space="preserve"> oparte na jednostkowych nieprawidłowościach dotyczących ograniczenia dostępności do świadczeń w systemie ochrony zdrowia. Oprócz licznych skarg i petycji od pacjentów kierowanych m.in. do N</w:t>
      </w:r>
      <w:r w:rsidR="004C0073">
        <w:rPr>
          <w:rFonts w:ascii="Arial" w:hAnsi="Arial" w:cs="Arial"/>
          <w:sz w:val="24"/>
          <w:szCs w:val="24"/>
        </w:rPr>
        <w:t xml:space="preserve">arodowego </w:t>
      </w:r>
      <w:r w:rsidRPr="0038358D">
        <w:rPr>
          <w:rFonts w:ascii="Arial" w:hAnsi="Arial" w:cs="Arial"/>
          <w:sz w:val="24"/>
          <w:szCs w:val="24"/>
        </w:rPr>
        <w:t>F</w:t>
      </w:r>
      <w:r w:rsidR="004C0073">
        <w:rPr>
          <w:rFonts w:ascii="Arial" w:hAnsi="Arial" w:cs="Arial"/>
          <w:sz w:val="24"/>
          <w:szCs w:val="24"/>
        </w:rPr>
        <w:t xml:space="preserve">unduszu </w:t>
      </w:r>
      <w:r w:rsidRPr="0038358D">
        <w:rPr>
          <w:rFonts w:ascii="Arial" w:hAnsi="Arial" w:cs="Arial"/>
          <w:sz w:val="24"/>
          <w:szCs w:val="24"/>
        </w:rPr>
        <w:t>Z</w:t>
      </w:r>
      <w:r w:rsidR="004C0073">
        <w:rPr>
          <w:rFonts w:ascii="Arial" w:hAnsi="Arial" w:cs="Arial"/>
          <w:sz w:val="24"/>
          <w:szCs w:val="24"/>
        </w:rPr>
        <w:t>drowia</w:t>
      </w:r>
      <w:r w:rsidRPr="0038358D">
        <w:rPr>
          <w:rFonts w:ascii="Arial" w:hAnsi="Arial" w:cs="Arial"/>
          <w:sz w:val="24"/>
          <w:szCs w:val="24"/>
        </w:rPr>
        <w:t xml:space="preserve">, na problemy z ograniczoną dostępnością w POZ wskazuje również „Badanie dotyczące pandemii COVID-19 oraz jej wpływu na życie i zdrowie Polaków” zrealizowane na ogólnopolskiej próbie dorosłych Polaków (N=1019) </w:t>
      </w:r>
      <w:r w:rsidR="00E73924">
        <w:rPr>
          <w:rFonts w:ascii="Arial" w:hAnsi="Arial" w:cs="Arial"/>
          <w:sz w:val="24"/>
          <w:szCs w:val="24"/>
        </w:rPr>
        <w:t xml:space="preserve">w </w:t>
      </w:r>
      <w:r w:rsidRPr="0038358D">
        <w:rPr>
          <w:rFonts w:ascii="Arial" w:hAnsi="Arial" w:cs="Arial"/>
          <w:sz w:val="24"/>
          <w:szCs w:val="24"/>
        </w:rPr>
        <w:t xml:space="preserve">dniach </w:t>
      </w:r>
      <w:r w:rsidR="00E73924">
        <w:rPr>
          <w:rFonts w:ascii="Arial" w:hAnsi="Arial" w:cs="Arial"/>
          <w:sz w:val="24"/>
          <w:szCs w:val="24"/>
        </w:rPr>
        <w:t xml:space="preserve">od </w:t>
      </w:r>
      <w:r w:rsidRPr="0038358D">
        <w:rPr>
          <w:rFonts w:ascii="Arial" w:hAnsi="Arial" w:cs="Arial"/>
          <w:sz w:val="24"/>
          <w:szCs w:val="24"/>
        </w:rPr>
        <w:t xml:space="preserve">2 do 7 kwietnia 2021 r. Aż 51% badanych wskazało na znaczne ograniczenie dostępu do świadczeń opieki zdrowotnej w POZ (porównanie </w:t>
      </w:r>
      <w:r w:rsidR="006664DA">
        <w:rPr>
          <w:rFonts w:ascii="Arial" w:hAnsi="Arial" w:cs="Arial"/>
          <w:sz w:val="24"/>
          <w:szCs w:val="24"/>
        </w:rPr>
        <w:br/>
      </w:r>
      <w:r w:rsidRPr="0038358D">
        <w:rPr>
          <w:rFonts w:ascii="Arial" w:hAnsi="Arial" w:cs="Arial"/>
          <w:sz w:val="24"/>
          <w:szCs w:val="24"/>
        </w:rPr>
        <w:t>I kwartału 2021 r. do czasu sprzed pandemii). Na</w:t>
      </w:r>
      <w:r w:rsidR="00D10DA3">
        <w:rPr>
          <w:rFonts w:ascii="Arial" w:hAnsi="Arial" w:cs="Arial"/>
          <w:sz w:val="24"/>
          <w:szCs w:val="24"/>
        </w:rPr>
        <w:t xml:space="preserve"> lepszą dostępność wynikającą </w:t>
      </w:r>
      <w:r w:rsidR="00D10DA3">
        <w:rPr>
          <w:rFonts w:ascii="Arial" w:hAnsi="Arial" w:cs="Arial"/>
          <w:sz w:val="24"/>
          <w:szCs w:val="24"/>
        </w:rPr>
        <w:lastRenderedPageBreak/>
        <w:t>z </w:t>
      </w:r>
      <w:r w:rsidRPr="0038358D">
        <w:rPr>
          <w:rFonts w:ascii="Arial" w:hAnsi="Arial" w:cs="Arial"/>
          <w:sz w:val="24"/>
          <w:szCs w:val="24"/>
        </w:rPr>
        <w:t>możliwości konsultacji telefonicznej wskazało jedynie 7 % Polaków. Co czwarty respondent wskazał, że dostępność jest na tym samym poziomie, 18% badanych nie ma zdania, ponieważ nie musiało korzystać z opieki zdrowotnej w POZ. W badaniu zbierano również opinie na temat poszczególnych rozwiązań zdalnych upowszechnionych w trakcie pandemii, tj. e-wizy</w:t>
      </w:r>
      <w:r w:rsidR="004570D6">
        <w:rPr>
          <w:rFonts w:ascii="Arial" w:hAnsi="Arial" w:cs="Arial"/>
          <w:sz w:val="24"/>
          <w:szCs w:val="24"/>
        </w:rPr>
        <w:t xml:space="preserve">ty, e-recepty, e-rejestracja,  </w:t>
      </w:r>
      <w:r w:rsidR="006664DA">
        <w:rPr>
          <w:rFonts w:ascii="Arial" w:hAnsi="Arial" w:cs="Arial"/>
          <w:sz w:val="24"/>
          <w:szCs w:val="24"/>
        </w:rPr>
        <w:br/>
      </w:r>
      <w:r w:rsidR="004570D6">
        <w:rPr>
          <w:rFonts w:ascii="Arial" w:hAnsi="Arial" w:cs="Arial"/>
          <w:sz w:val="24"/>
          <w:szCs w:val="24"/>
        </w:rPr>
        <w:t>e-</w:t>
      </w:r>
      <w:r w:rsidRPr="0038358D">
        <w:rPr>
          <w:rFonts w:ascii="Arial" w:hAnsi="Arial" w:cs="Arial"/>
          <w:sz w:val="24"/>
          <w:szCs w:val="24"/>
        </w:rPr>
        <w:t>skierowania</w:t>
      </w:r>
      <w:r w:rsidR="004570D6">
        <w:rPr>
          <w:rFonts w:ascii="Arial" w:hAnsi="Arial" w:cs="Arial"/>
          <w:sz w:val="24"/>
          <w:szCs w:val="24"/>
        </w:rPr>
        <w:t xml:space="preserve">. </w:t>
      </w:r>
      <w:r w:rsidRPr="0038358D">
        <w:rPr>
          <w:rFonts w:ascii="Arial" w:hAnsi="Arial" w:cs="Arial"/>
          <w:sz w:val="24"/>
          <w:szCs w:val="24"/>
        </w:rPr>
        <w:t>Spośród</w:t>
      </w:r>
      <w:r>
        <w:rPr>
          <w:rFonts w:ascii="Arial" w:hAnsi="Arial" w:cs="Arial"/>
          <w:sz w:val="24"/>
          <w:szCs w:val="24"/>
        </w:rPr>
        <w:t xml:space="preserve"> nich najgorzej zostały ocenione</w:t>
      </w:r>
      <w:r w:rsidRPr="0038358D">
        <w:rPr>
          <w:rFonts w:ascii="Arial" w:hAnsi="Arial" w:cs="Arial"/>
          <w:sz w:val="24"/>
          <w:szCs w:val="24"/>
        </w:rPr>
        <w:t xml:space="preserve"> e-wizyty. Im młodsza grupa, tym zadowolenie z e-wizyt jest niższe. Osoby w wieku powyżej 60</w:t>
      </w:r>
      <w:r w:rsidR="00A114BA">
        <w:rPr>
          <w:rFonts w:ascii="Arial" w:hAnsi="Arial" w:cs="Arial"/>
          <w:sz w:val="24"/>
          <w:szCs w:val="24"/>
        </w:rPr>
        <w:t>.</w:t>
      </w:r>
      <w:r w:rsidRPr="0038358D">
        <w:rPr>
          <w:rFonts w:ascii="Arial" w:hAnsi="Arial" w:cs="Arial"/>
          <w:sz w:val="24"/>
          <w:szCs w:val="24"/>
        </w:rPr>
        <w:t xml:space="preserve"> roku życia istotnie częściej niż pozostałe osoby oceniały e-wizyty raczej dobrze.</w:t>
      </w:r>
      <w:r w:rsidRPr="0038358D">
        <w:rPr>
          <w:sz w:val="18"/>
        </w:rPr>
        <w:t xml:space="preserve"> </w:t>
      </w:r>
    </w:p>
    <w:p w:rsidR="00B72230" w:rsidRDefault="00B72230" w:rsidP="00C31155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B302E">
        <w:rPr>
          <w:rFonts w:ascii="Arial" w:hAnsi="Arial" w:cs="Arial"/>
          <w:sz w:val="24"/>
          <w:szCs w:val="24"/>
        </w:rPr>
        <w:t>Według</w:t>
      </w:r>
      <w:r>
        <w:rPr>
          <w:rFonts w:ascii="Arial" w:hAnsi="Arial" w:cs="Arial"/>
          <w:sz w:val="24"/>
          <w:szCs w:val="24"/>
        </w:rPr>
        <w:t>:</w:t>
      </w:r>
    </w:p>
    <w:p w:rsidR="00A114BA" w:rsidRDefault="00A114BA" w:rsidP="00A114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2230">
        <w:rPr>
          <w:rFonts w:ascii="Arial" w:hAnsi="Arial" w:cs="Arial"/>
          <w:sz w:val="24"/>
          <w:szCs w:val="24"/>
        </w:rPr>
        <w:t xml:space="preserve">42% </w:t>
      </w:r>
      <w:r w:rsidR="00B72230" w:rsidRPr="001B302E">
        <w:rPr>
          <w:rFonts w:ascii="Arial" w:hAnsi="Arial" w:cs="Arial"/>
          <w:sz w:val="24"/>
          <w:szCs w:val="24"/>
        </w:rPr>
        <w:t xml:space="preserve">respondentów </w:t>
      </w:r>
      <w:proofErr w:type="spellStart"/>
      <w:r w:rsidR="00B72230">
        <w:rPr>
          <w:rFonts w:ascii="Arial" w:hAnsi="Arial" w:cs="Arial"/>
          <w:sz w:val="24"/>
          <w:szCs w:val="24"/>
        </w:rPr>
        <w:t>teleporady</w:t>
      </w:r>
      <w:proofErr w:type="spellEnd"/>
      <w:r w:rsidR="00B72230">
        <w:rPr>
          <w:rFonts w:ascii="Arial" w:hAnsi="Arial" w:cs="Arial"/>
          <w:sz w:val="24"/>
          <w:szCs w:val="24"/>
        </w:rPr>
        <w:t xml:space="preserve"> ułatwiają proces opieki/leczen</w:t>
      </w:r>
      <w:r>
        <w:rPr>
          <w:rFonts w:ascii="Arial" w:hAnsi="Arial" w:cs="Arial"/>
          <w:sz w:val="24"/>
          <w:szCs w:val="24"/>
        </w:rPr>
        <w:t>ia, a 46 % się z tym nie zgadza,</w:t>
      </w:r>
    </w:p>
    <w:p w:rsidR="00A114BA" w:rsidRDefault="00A114BA" w:rsidP="00A114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2230">
        <w:rPr>
          <w:rFonts w:ascii="Arial" w:hAnsi="Arial" w:cs="Arial"/>
          <w:sz w:val="24"/>
          <w:szCs w:val="24"/>
        </w:rPr>
        <w:t xml:space="preserve">38% respondentów </w:t>
      </w:r>
      <w:proofErr w:type="spellStart"/>
      <w:r w:rsidR="00B72230">
        <w:rPr>
          <w:rFonts w:ascii="Arial" w:hAnsi="Arial" w:cs="Arial"/>
          <w:sz w:val="24"/>
          <w:szCs w:val="24"/>
        </w:rPr>
        <w:t>teleporady</w:t>
      </w:r>
      <w:proofErr w:type="spellEnd"/>
      <w:r w:rsidR="00B72230">
        <w:rPr>
          <w:rFonts w:ascii="Arial" w:hAnsi="Arial" w:cs="Arial"/>
          <w:sz w:val="24"/>
          <w:szCs w:val="24"/>
        </w:rPr>
        <w:t xml:space="preserve"> przyspieszają proces opieki/lecze</w:t>
      </w:r>
      <w:r>
        <w:rPr>
          <w:rFonts w:ascii="Arial" w:hAnsi="Arial" w:cs="Arial"/>
          <w:sz w:val="24"/>
          <w:szCs w:val="24"/>
        </w:rPr>
        <w:t>nia, a 46% się z tym nie zgadza,</w:t>
      </w:r>
    </w:p>
    <w:p w:rsidR="00B72230" w:rsidRDefault="00A114BA" w:rsidP="00A114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2230">
        <w:rPr>
          <w:rFonts w:ascii="Arial" w:hAnsi="Arial" w:cs="Arial"/>
          <w:sz w:val="24"/>
          <w:szCs w:val="24"/>
        </w:rPr>
        <w:t xml:space="preserve">62% respondentów </w:t>
      </w:r>
      <w:proofErr w:type="spellStart"/>
      <w:r w:rsidR="00B72230">
        <w:rPr>
          <w:rFonts w:ascii="Arial" w:hAnsi="Arial" w:cs="Arial"/>
          <w:sz w:val="24"/>
          <w:szCs w:val="24"/>
        </w:rPr>
        <w:t>teleporady</w:t>
      </w:r>
      <w:proofErr w:type="spellEnd"/>
      <w:r w:rsidR="00B72230">
        <w:rPr>
          <w:rFonts w:ascii="Arial" w:hAnsi="Arial" w:cs="Arial"/>
          <w:sz w:val="24"/>
          <w:szCs w:val="24"/>
        </w:rPr>
        <w:t xml:space="preserve"> o</w:t>
      </w:r>
      <w:r w:rsidR="0081026A">
        <w:rPr>
          <w:rFonts w:ascii="Arial" w:hAnsi="Arial" w:cs="Arial"/>
          <w:sz w:val="24"/>
          <w:szCs w:val="24"/>
        </w:rPr>
        <w:t>g</w:t>
      </w:r>
      <w:r w:rsidR="00B72230">
        <w:rPr>
          <w:rFonts w:ascii="Arial" w:hAnsi="Arial" w:cs="Arial"/>
          <w:sz w:val="24"/>
          <w:szCs w:val="24"/>
        </w:rPr>
        <w:t>raniczają transmisję wir</w:t>
      </w:r>
      <w:r>
        <w:rPr>
          <w:rFonts w:ascii="Arial" w:hAnsi="Arial" w:cs="Arial"/>
          <w:sz w:val="24"/>
          <w:szCs w:val="24"/>
        </w:rPr>
        <w:t>usa, a 23% się z tym nie zgadza,</w:t>
      </w:r>
    </w:p>
    <w:p w:rsidR="0081026A" w:rsidRDefault="00A114BA" w:rsidP="00A114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2230">
        <w:rPr>
          <w:rFonts w:ascii="Arial" w:hAnsi="Arial" w:cs="Arial"/>
          <w:sz w:val="24"/>
          <w:szCs w:val="24"/>
        </w:rPr>
        <w:t xml:space="preserve">78% respondentów </w:t>
      </w:r>
      <w:proofErr w:type="spellStart"/>
      <w:r w:rsidR="00B72230">
        <w:rPr>
          <w:rFonts w:ascii="Arial" w:hAnsi="Arial" w:cs="Arial"/>
          <w:sz w:val="24"/>
          <w:szCs w:val="24"/>
        </w:rPr>
        <w:t>teleporady</w:t>
      </w:r>
      <w:proofErr w:type="spellEnd"/>
      <w:r w:rsidR="00B72230">
        <w:rPr>
          <w:rFonts w:ascii="Arial" w:hAnsi="Arial" w:cs="Arial"/>
          <w:sz w:val="24"/>
          <w:szCs w:val="24"/>
        </w:rPr>
        <w:t xml:space="preserve"> są skomplikowane dla starszych osób, a 11% się z tym nie zgadza, </w:t>
      </w:r>
    </w:p>
    <w:p w:rsidR="00A114BA" w:rsidRDefault="00A114BA" w:rsidP="00A114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72230">
        <w:rPr>
          <w:rFonts w:ascii="Arial" w:hAnsi="Arial" w:cs="Arial"/>
          <w:sz w:val="24"/>
          <w:szCs w:val="24"/>
        </w:rPr>
        <w:t xml:space="preserve">55% respondentów </w:t>
      </w:r>
      <w:proofErr w:type="spellStart"/>
      <w:r w:rsidR="00B72230">
        <w:rPr>
          <w:rFonts w:ascii="Arial" w:hAnsi="Arial" w:cs="Arial"/>
          <w:sz w:val="24"/>
          <w:szCs w:val="24"/>
        </w:rPr>
        <w:t>teleporady</w:t>
      </w:r>
      <w:proofErr w:type="spellEnd"/>
      <w:r w:rsidR="00B72230">
        <w:rPr>
          <w:rFonts w:ascii="Arial" w:hAnsi="Arial" w:cs="Arial"/>
          <w:sz w:val="24"/>
          <w:szCs w:val="24"/>
        </w:rPr>
        <w:t xml:space="preserve"> są ogólnie proste w realizacji, a 26% się z tym nie zga</w:t>
      </w:r>
      <w:r>
        <w:rPr>
          <w:rFonts w:ascii="Arial" w:hAnsi="Arial" w:cs="Arial"/>
          <w:sz w:val="24"/>
          <w:szCs w:val="24"/>
        </w:rPr>
        <w:t>dza,</w:t>
      </w:r>
    </w:p>
    <w:p w:rsidR="00B72230" w:rsidRPr="0038358D" w:rsidRDefault="00A114BA" w:rsidP="00A114B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B72230">
        <w:rPr>
          <w:rFonts w:ascii="Arial" w:hAnsi="Arial" w:cs="Arial"/>
          <w:sz w:val="24"/>
          <w:szCs w:val="24"/>
        </w:rPr>
        <w:t xml:space="preserve"> 55% respondentów </w:t>
      </w:r>
      <w:proofErr w:type="spellStart"/>
      <w:r w:rsidR="00B72230">
        <w:rPr>
          <w:rFonts w:ascii="Arial" w:hAnsi="Arial" w:cs="Arial"/>
          <w:sz w:val="24"/>
          <w:szCs w:val="24"/>
        </w:rPr>
        <w:t>teleporady</w:t>
      </w:r>
      <w:proofErr w:type="spellEnd"/>
      <w:r w:rsidR="00B72230">
        <w:rPr>
          <w:rFonts w:ascii="Arial" w:hAnsi="Arial" w:cs="Arial"/>
          <w:sz w:val="24"/>
          <w:szCs w:val="24"/>
        </w:rPr>
        <w:t xml:space="preserve"> są nieefektywne/zniechęcają do skorzystania </w:t>
      </w:r>
      <w:r w:rsidR="00E73924">
        <w:rPr>
          <w:rFonts w:ascii="Arial" w:hAnsi="Arial" w:cs="Arial"/>
          <w:sz w:val="24"/>
          <w:szCs w:val="24"/>
        </w:rPr>
        <w:br/>
      </w:r>
      <w:r w:rsidR="00B72230">
        <w:rPr>
          <w:rFonts w:ascii="Arial" w:hAnsi="Arial" w:cs="Arial"/>
          <w:sz w:val="24"/>
          <w:szCs w:val="24"/>
        </w:rPr>
        <w:t xml:space="preserve">z konsultacji, a 25% się z tym nie zgadza. </w:t>
      </w:r>
    </w:p>
    <w:p w:rsidR="00B72230" w:rsidRDefault="00B72230" w:rsidP="00C31155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B302E">
        <w:rPr>
          <w:rFonts w:ascii="Arial" w:hAnsi="Arial" w:cs="Arial"/>
          <w:sz w:val="24"/>
          <w:szCs w:val="24"/>
        </w:rPr>
        <w:t>Powyższe dane nie potwierdzają tezy, że p</w:t>
      </w:r>
      <w:r w:rsidR="004B6042">
        <w:rPr>
          <w:rFonts w:ascii="Arial" w:hAnsi="Arial" w:cs="Arial"/>
          <w:sz w:val="24"/>
          <w:szCs w:val="24"/>
        </w:rPr>
        <w:t>acjenci są w pełni zadowoleni z </w:t>
      </w:r>
      <w:r w:rsidRPr="001B302E">
        <w:rPr>
          <w:rFonts w:ascii="Arial" w:hAnsi="Arial" w:cs="Arial"/>
          <w:sz w:val="24"/>
          <w:szCs w:val="24"/>
        </w:rPr>
        <w:t xml:space="preserve">możliwości konsultacji w formie </w:t>
      </w:r>
      <w:proofErr w:type="spellStart"/>
      <w:r w:rsidRPr="001B302E">
        <w:rPr>
          <w:rFonts w:ascii="Arial" w:hAnsi="Arial" w:cs="Arial"/>
          <w:sz w:val="24"/>
          <w:szCs w:val="24"/>
        </w:rPr>
        <w:t>teleporad</w:t>
      </w:r>
      <w:proofErr w:type="spellEnd"/>
      <w:r w:rsidRPr="001B302E">
        <w:rPr>
          <w:rFonts w:ascii="Arial" w:hAnsi="Arial" w:cs="Arial"/>
          <w:sz w:val="24"/>
          <w:szCs w:val="24"/>
        </w:rPr>
        <w:t xml:space="preserve">. Zaproponowane niniejszym zarządzeniem rozwiązanie ma na celu zapewnienie odpowiedniej jakości udzielanych świadczeń, jednocześnie nie wykluczając możliwości realizacji </w:t>
      </w:r>
      <w:proofErr w:type="spellStart"/>
      <w:r w:rsidRPr="001B302E">
        <w:rPr>
          <w:rFonts w:ascii="Arial" w:hAnsi="Arial" w:cs="Arial"/>
          <w:sz w:val="24"/>
          <w:szCs w:val="24"/>
        </w:rPr>
        <w:t>teleporad</w:t>
      </w:r>
      <w:proofErr w:type="spellEnd"/>
      <w:r w:rsidRPr="001B302E">
        <w:rPr>
          <w:rFonts w:ascii="Arial" w:hAnsi="Arial" w:cs="Arial"/>
          <w:sz w:val="24"/>
          <w:szCs w:val="24"/>
        </w:rPr>
        <w:t xml:space="preserve">. Zaproponowany mechanizm ma jedynie na celu ograniczenie „negatywnych praktyk” polegających na wyłącznej lub </w:t>
      </w:r>
      <w:r w:rsidR="006664DA">
        <w:rPr>
          <w:rFonts w:ascii="Arial" w:hAnsi="Arial" w:cs="Arial"/>
          <w:sz w:val="24"/>
          <w:szCs w:val="24"/>
        </w:rPr>
        <w:t>dominującej</w:t>
      </w:r>
      <w:r w:rsidRPr="001B302E">
        <w:rPr>
          <w:rFonts w:ascii="Arial" w:hAnsi="Arial" w:cs="Arial"/>
          <w:sz w:val="24"/>
          <w:szCs w:val="24"/>
        </w:rPr>
        <w:t xml:space="preserve"> realizacji wizyt w formie zdalnej. </w:t>
      </w:r>
    </w:p>
    <w:p w:rsidR="00C31155" w:rsidRDefault="00C31155" w:rsidP="008A2616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A2616" w:rsidRDefault="008A2616" w:rsidP="008A2616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70E7E">
        <w:rPr>
          <w:rFonts w:ascii="Arial" w:hAnsi="Arial" w:cs="Arial"/>
          <w:sz w:val="24"/>
          <w:szCs w:val="24"/>
        </w:rPr>
        <w:t>Nie można oszacować skutków finansowych wprowadzanych zmian.</w:t>
      </w:r>
    </w:p>
    <w:p w:rsidR="008A2616" w:rsidRPr="00934024" w:rsidRDefault="008A2616" w:rsidP="00433C37">
      <w:pPr>
        <w:pStyle w:val="Tekstprzypisudolnego"/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Zarządzenie podlegało opiniowaniu. </w:t>
      </w:r>
    </w:p>
    <w:sectPr w:rsidR="008A2616" w:rsidRPr="00934024" w:rsidSect="008233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B35" w:rsidRDefault="001A4B35" w:rsidP="002A038B">
      <w:pPr>
        <w:spacing w:line="240" w:lineRule="auto"/>
      </w:pPr>
      <w:r>
        <w:separator/>
      </w:r>
    </w:p>
  </w:endnote>
  <w:endnote w:type="continuationSeparator" w:id="0">
    <w:p w:rsidR="001A4B35" w:rsidRDefault="001A4B35" w:rsidP="002A03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042" w:rsidRDefault="004B60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3146290"/>
      <w:docPartObj>
        <w:docPartGallery w:val="Page Numbers (Bottom of Page)"/>
        <w:docPartUnique/>
      </w:docPartObj>
    </w:sdtPr>
    <w:sdtEndPr/>
    <w:sdtContent>
      <w:p w:rsidR="004B6042" w:rsidRDefault="004B60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DA">
          <w:rPr>
            <w:noProof/>
          </w:rPr>
          <w:t>3</w:t>
        </w:r>
        <w:r>
          <w:fldChar w:fldCharType="end"/>
        </w:r>
      </w:p>
    </w:sdtContent>
  </w:sdt>
  <w:p w:rsidR="004B6042" w:rsidRDefault="004B60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936259"/>
      <w:docPartObj>
        <w:docPartGallery w:val="Page Numbers (Bottom of Page)"/>
        <w:docPartUnique/>
      </w:docPartObj>
    </w:sdtPr>
    <w:sdtEndPr/>
    <w:sdtContent>
      <w:p w:rsidR="002A038B" w:rsidRDefault="002A0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DA">
          <w:rPr>
            <w:noProof/>
          </w:rPr>
          <w:t>1</w:t>
        </w:r>
        <w:r>
          <w:fldChar w:fldCharType="end"/>
        </w:r>
      </w:p>
    </w:sdtContent>
  </w:sdt>
  <w:p w:rsidR="002A038B" w:rsidRDefault="002A03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B35" w:rsidRDefault="001A4B35" w:rsidP="002A038B">
      <w:pPr>
        <w:spacing w:line="240" w:lineRule="auto"/>
      </w:pPr>
      <w:r>
        <w:separator/>
      </w:r>
    </w:p>
  </w:footnote>
  <w:footnote w:type="continuationSeparator" w:id="0">
    <w:p w:rsidR="001A4B35" w:rsidRDefault="001A4B35" w:rsidP="002A03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042" w:rsidRDefault="004B60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042" w:rsidRDefault="004B60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042" w:rsidRDefault="004B60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12663"/>
    <w:multiLevelType w:val="hybridMultilevel"/>
    <w:tmpl w:val="AED48990"/>
    <w:lvl w:ilvl="0" w:tplc="D1F2D9F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455E4"/>
    <w:multiLevelType w:val="hybridMultilevel"/>
    <w:tmpl w:val="8C82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55CF3"/>
    <w:multiLevelType w:val="hybridMultilevel"/>
    <w:tmpl w:val="2154084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8A8533C"/>
    <w:multiLevelType w:val="hybridMultilevel"/>
    <w:tmpl w:val="5D26D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361DFC"/>
    <w:multiLevelType w:val="multilevel"/>
    <w:tmpl w:val="2C30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104061"/>
    <w:multiLevelType w:val="hybridMultilevel"/>
    <w:tmpl w:val="18CEF3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E7"/>
    <w:rsid w:val="0002344A"/>
    <w:rsid w:val="00047A62"/>
    <w:rsid w:val="000A6CC1"/>
    <w:rsid w:val="000E722F"/>
    <w:rsid w:val="00112A89"/>
    <w:rsid w:val="00145E19"/>
    <w:rsid w:val="00151BB1"/>
    <w:rsid w:val="00155ABA"/>
    <w:rsid w:val="0016014A"/>
    <w:rsid w:val="001720B8"/>
    <w:rsid w:val="0018370C"/>
    <w:rsid w:val="001A4B35"/>
    <w:rsid w:val="001B302E"/>
    <w:rsid w:val="001C42DA"/>
    <w:rsid w:val="00237147"/>
    <w:rsid w:val="0024181A"/>
    <w:rsid w:val="002453C0"/>
    <w:rsid w:val="002454DC"/>
    <w:rsid w:val="002A038B"/>
    <w:rsid w:val="002E515C"/>
    <w:rsid w:val="0031579A"/>
    <w:rsid w:val="00317317"/>
    <w:rsid w:val="003614C2"/>
    <w:rsid w:val="00362D42"/>
    <w:rsid w:val="0037240A"/>
    <w:rsid w:val="0037473A"/>
    <w:rsid w:val="0038358D"/>
    <w:rsid w:val="00385999"/>
    <w:rsid w:val="003A5069"/>
    <w:rsid w:val="003B726A"/>
    <w:rsid w:val="003D4311"/>
    <w:rsid w:val="003D4FC8"/>
    <w:rsid w:val="00406C65"/>
    <w:rsid w:val="00413AA5"/>
    <w:rsid w:val="00416CA6"/>
    <w:rsid w:val="00433C37"/>
    <w:rsid w:val="004522FB"/>
    <w:rsid w:val="004570D6"/>
    <w:rsid w:val="00457454"/>
    <w:rsid w:val="0047679E"/>
    <w:rsid w:val="004A6E6E"/>
    <w:rsid w:val="004B6042"/>
    <w:rsid w:val="004C0073"/>
    <w:rsid w:val="004D1E7E"/>
    <w:rsid w:val="004D22CF"/>
    <w:rsid w:val="00510282"/>
    <w:rsid w:val="00512D00"/>
    <w:rsid w:val="00546946"/>
    <w:rsid w:val="005544D1"/>
    <w:rsid w:val="00597542"/>
    <w:rsid w:val="005B68F8"/>
    <w:rsid w:val="005E5AE0"/>
    <w:rsid w:val="005E7E67"/>
    <w:rsid w:val="0064000C"/>
    <w:rsid w:val="00643315"/>
    <w:rsid w:val="006570F2"/>
    <w:rsid w:val="006664DA"/>
    <w:rsid w:val="006700E7"/>
    <w:rsid w:val="00670D80"/>
    <w:rsid w:val="00682C2A"/>
    <w:rsid w:val="006D0400"/>
    <w:rsid w:val="006D34E3"/>
    <w:rsid w:val="00703296"/>
    <w:rsid w:val="00712F32"/>
    <w:rsid w:val="00754485"/>
    <w:rsid w:val="00794B18"/>
    <w:rsid w:val="007B1922"/>
    <w:rsid w:val="007C218D"/>
    <w:rsid w:val="007D3EC2"/>
    <w:rsid w:val="0081026A"/>
    <w:rsid w:val="00823326"/>
    <w:rsid w:val="0086498B"/>
    <w:rsid w:val="008A2616"/>
    <w:rsid w:val="008B2A6E"/>
    <w:rsid w:val="008C29A6"/>
    <w:rsid w:val="008D2002"/>
    <w:rsid w:val="008E38F1"/>
    <w:rsid w:val="008E47FA"/>
    <w:rsid w:val="008F213E"/>
    <w:rsid w:val="009023A8"/>
    <w:rsid w:val="00915A02"/>
    <w:rsid w:val="00934024"/>
    <w:rsid w:val="00950A12"/>
    <w:rsid w:val="00957C08"/>
    <w:rsid w:val="009627B0"/>
    <w:rsid w:val="00963BF4"/>
    <w:rsid w:val="00963EE6"/>
    <w:rsid w:val="00990C32"/>
    <w:rsid w:val="00994B26"/>
    <w:rsid w:val="00997E4E"/>
    <w:rsid w:val="009B0AAD"/>
    <w:rsid w:val="009C3286"/>
    <w:rsid w:val="009E4C3C"/>
    <w:rsid w:val="009E56C8"/>
    <w:rsid w:val="009F64BA"/>
    <w:rsid w:val="00A114BA"/>
    <w:rsid w:val="00A13FCA"/>
    <w:rsid w:val="00A23A73"/>
    <w:rsid w:val="00A33624"/>
    <w:rsid w:val="00A361E1"/>
    <w:rsid w:val="00A74983"/>
    <w:rsid w:val="00A75C3A"/>
    <w:rsid w:val="00AA77FF"/>
    <w:rsid w:val="00AB2A91"/>
    <w:rsid w:val="00AC1F3E"/>
    <w:rsid w:val="00AC7A9E"/>
    <w:rsid w:val="00B25CEE"/>
    <w:rsid w:val="00B3612A"/>
    <w:rsid w:val="00B5219A"/>
    <w:rsid w:val="00B72230"/>
    <w:rsid w:val="00B72D7A"/>
    <w:rsid w:val="00B82661"/>
    <w:rsid w:val="00B95277"/>
    <w:rsid w:val="00BC4D69"/>
    <w:rsid w:val="00BF1B65"/>
    <w:rsid w:val="00C16010"/>
    <w:rsid w:val="00C31155"/>
    <w:rsid w:val="00C81573"/>
    <w:rsid w:val="00C86918"/>
    <w:rsid w:val="00CA3AE9"/>
    <w:rsid w:val="00CB06AE"/>
    <w:rsid w:val="00CE2EDD"/>
    <w:rsid w:val="00D10DA3"/>
    <w:rsid w:val="00D76DDF"/>
    <w:rsid w:val="00DA00A0"/>
    <w:rsid w:val="00DB7D66"/>
    <w:rsid w:val="00DD0D59"/>
    <w:rsid w:val="00DF34C5"/>
    <w:rsid w:val="00E124C8"/>
    <w:rsid w:val="00E147E5"/>
    <w:rsid w:val="00E3055D"/>
    <w:rsid w:val="00E73924"/>
    <w:rsid w:val="00E826DF"/>
    <w:rsid w:val="00E83215"/>
    <w:rsid w:val="00EA49DE"/>
    <w:rsid w:val="00EA796E"/>
    <w:rsid w:val="00EB3BB3"/>
    <w:rsid w:val="00ED31D3"/>
    <w:rsid w:val="00ED3662"/>
    <w:rsid w:val="00EF7D8C"/>
    <w:rsid w:val="00F35670"/>
    <w:rsid w:val="00F4176C"/>
    <w:rsid w:val="00F52BED"/>
    <w:rsid w:val="00F603C9"/>
    <w:rsid w:val="00F62DF5"/>
    <w:rsid w:val="00FC5753"/>
    <w:rsid w:val="00FD6084"/>
    <w:rsid w:val="00FD70E8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DC78"/>
  <w15:docId w15:val="{ED16328F-C2F5-4B12-9248-507B32AD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CA3AE9"/>
    <w:rPr>
      <w:rFonts w:ascii="Times New Roman" w:hAnsi="Times New Roman" w:cs="Times New Roman"/>
      <w:color w:val="0000FF"/>
      <w:sz w:val="20"/>
      <w:szCs w:val="2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57454"/>
    <w:pPr>
      <w:tabs>
        <w:tab w:val="clear" w:pos="708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5745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D1E7E"/>
    <w:pPr>
      <w:tabs>
        <w:tab w:val="clear" w:pos="708"/>
      </w:tabs>
      <w:spacing w:after="200" w:line="240" w:lineRule="auto"/>
      <w:jc w:val="both"/>
    </w:pPr>
    <w:rPr>
      <w:rFonts w:ascii="Century Gothic" w:eastAsiaTheme="minorHAnsi" w:hAnsi="Century Gothic" w:cstheme="minorBidi"/>
      <w:i/>
      <w:iCs/>
      <w:color w:val="1F497D" w:themeColor="text2"/>
      <w:sz w:val="18"/>
      <w:szCs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96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96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8A2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038B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3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038B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38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442BC-069B-47E8-BEB8-D7BA513A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Górska Agnieszka</cp:lastModifiedBy>
  <cp:revision>16</cp:revision>
  <cp:lastPrinted>2021-06-23T10:08:00Z</cp:lastPrinted>
  <dcterms:created xsi:type="dcterms:W3CDTF">2021-06-24T10:27:00Z</dcterms:created>
  <dcterms:modified xsi:type="dcterms:W3CDTF">2021-06-24T13:06:00Z</dcterms:modified>
</cp:coreProperties>
</file>