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3466"/>
      </w:pPr>
      <w:r>
        <w:rPr/>
        <w:t>ZARZĄDZENIE Nr 213/2020/DSOZ PREZESA</w:t>
      </w:r>
    </w:p>
    <w:p>
      <w:pPr>
        <w:spacing w:before="0"/>
        <w:ind w:left="2565" w:right="346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565" w:right="3465"/>
        <w:jc w:val="center"/>
      </w:pPr>
      <w:r>
        <w:rPr/>
        <w:t>z dnia 31.12.2020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350" w:right="1184"/>
      </w:pPr>
      <w:r>
        <w:rPr/>
        <w:t>zmieniające zarządzenie w sprawie określenia warunków zawierania i realizacji umów w rodzaju świadczenia zdrowotne kontraktowane odrębnie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95" w:right="1096" w:firstLine="567"/>
        <w:jc w:val="both"/>
      </w:pPr>
      <w:r>
        <w:rPr/>
        <w:t>Na podstawie art. 102 ust. 5 pkt 21 i 25 oraz art. 146 ust. 1 ustawy z dnia          27 sierpnia 2004 r. o świadczeniach opieki zdrowotnej finansowanych ze środków publicznych (Dz. U. z 2020 r. poz. 1398, z późn. zm.</w:t>
      </w:r>
      <w:r>
        <w:rPr>
          <w:position w:val="7"/>
          <w:sz w:val="16"/>
        </w:rPr>
        <w:t>1)</w:t>
      </w:r>
      <w:r>
        <w:rPr/>
        <w:t>) zarządza się, co</w:t>
      </w:r>
      <w:r>
        <w:rPr>
          <w:spacing w:val="-28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95" w:right="1092" w:firstLine="567"/>
        <w:jc w:val="both"/>
      </w:pPr>
      <w:r>
        <w:rPr>
          <w:b/>
        </w:rPr>
        <w:t>§ 1. </w:t>
      </w:r>
      <w:r>
        <w:rPr/>
        <w:t>W </w:t>
      </w:r>
      <w:r>
        <w:rPr>
          <w:spacing w:val="-4"/>
        </w:rPr>
        <w:t>zarządzeniu </w:t>
      </w:r>
      <w:r>
        <w:rPr/>
        <w:t>Nr 167/2019/DSOZ Prezesa Narodowego Funduszu Zdrowia z dnia 29 listopada 2019 r. w </w:t>
      </w:r>
      <w:r>
        <w:rPr>
          <w:spacing w:val="-4"/>
        </w:rPr>
        <w:t>sprawie określenia warunków zawierania </w:t>
      </w:r>
      <w:r>
        <w:rPr/>
        <w:t>i </w:t>
      </w:r>
      <w:r>
        <w:rPr>
          <w:spacing w:val="-4"/>
        </w:rPr>
        <w:t>realizacji </w:t>
      </w:r>
      <w:r>
        <w:rPr>
          <w:spacing w:val="-3"/>
        </w:rPr>
        <w:t>umów </w:t>
      </w:r>
      <w:r>
        <w:rPr/>
        <w:t>w </w:t>
      </w:r>
      <w:r>
        <w:rPr>
          <w:spacing w:val="-4"/>
        </w:rPr>
        <w:t>rodzaju świadczenia zdrowotne kontraktowane </w:t>
      </w:r>
      <w:r>
        <w:rPr/>
        <w:t>odrębnie, zmienionym zarządzeniem </w:t>
      </w:r>
      <w:hyperlink r:id="rId5">
        <w:r>
          <w:rPr/>
          <w:t>Nr</w:t>
        </w:r>
        <w:r>
          <w:rPr>
            <w:spacing w:val="-11"/>
          </w:rPr>
          <w:t> </w:t>
        </w:r>
        <w:r>
          <w:rPr/>
          <w:t>173/2019/DSOZ</w:t>
        </w:r>
        <w:r>
          <w:rPr>
            <w:spacing w:val="-9"/>
          </w:rPr>
          <w:t> </w:t>
        </w:r>
      </w:hyperlink>
      <w:r>
        <w:rPr/>
        <w:t>Prezesa</w:t>
      </w:r>
      <w:r>
        <w:rPr>
          <w:spacing w:val="-9"/>
        </w:rPr>
        <w:t> </w:t>
      </w:r>
      <w:r>
        <w:rPr/>
        <w:t>Narodowego</w:t>
      </w:r>
      <w:r>
        <w:rPr>
          <w:spacing w:val="-9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  <w:r>
        <w:rPr>
          <w:spacing w:val="-9"/>
        </w:rPr>
        <w:t> </w:t>
      </w:r>
      <w:r>
        <w:rPr/>
        <w:t>z</w:t>
      </w:r>
      <w:r>
        <w:rPr>
          <w:spacing w:val="-11"/>
        </w:rPr>
        <w:t> </w:t>
      </w:r>
      <w:r>
        <w:rPr/>
        <w:t>dnia</w:t>
      </w:r>
      <w:r>
        <w:rPr>
          <w:spacing w:val="-10"/>
        </w:rPr>
        <w:t> </w:t>
      </w:r>
      <w:r>
        <w:rPr/>
        <w:t>14</w:t>
      </w:r>
      <w:r>
        <w:rPr>
          <w:spacing w:val="-11"/>
        </w:rPr>
        <w:t> </w:t>
      </w:r>
      <w:r>
        <w:rPr/>
        <w:t>grudnia</w:t>
      </w:r>
      <w:r>
        <w:rPr>
          <w:spacing w:val="-10"/>
        </w:rPr>
        <w:t> </w:t>
      </w:r>
      <w:r>
        <w:rPr/>
        <w:t>2019</w:t>
      </w:r>
      <w:r>
        <w:rPr>
          <w:spacing w:val="-6"/>
        </w:rPr>
        <w:t> </w:t>
      </w:r>
      <w:r>
        <w:rPr/>
        <w:t>r., wprowadza się następujące</w:t>
      </w:r>
      <w:r>
        <w:rPr>
          <w:spacing w:val="-1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23" w:val="left" w:leader="none"/>
        </w:tabs>
        <w:spacing w:line="240" w:lineRule="auto" w:before="0" w:after="0"/>
        <w:ind w:left="1123" w:right="0" w:hanging="361"/>
        <w:jc w:val="both"/>
        <w:rPr>
          <w:sz w:val="24"/>
        </w:rPr>
      </w:pPr>
      <w:r>
        <w:rPr>
          <w:sz w:val="24"/>
        </w:rPr>
        <w:t>w § 5 w ust. 3 pkt 1 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904" w:right="1096" w:hanging="1"/>
        <w:jc w:val="both"/>
      </w:pPr>
      <w:r>
        <w:rPr/>
        <w:t>„1) </w:t>
      </w:r>
      <w:r>
        <w:rPr>
          <w:b/>
        </w:rPr>
        <w:t>załączniku nr 2a </w:t>
      </w:r>
      <w:r>
        <w:rPr/>
        <w:t>do zarządzenia stosuje się do zakresów, o których mowa w § 6 pkt 16, 18, 20 i</w:t>
      </w:r>
      <w:r>
        <w:rPr>
          <w:spacing w:val="-2"/>
        </w:rPr>
        <w:t> </w:t>
      </w:r>
      <w:r>
        <w:rPr/>
        <w:t>24;”;</w:t>
      </w:r>
    </w:p>
    <w:p>
      <w:pPr>
        <w:pStyle w:val="ListParagraph"/>
        <w:numPr>
          <w:ilvl w:val="0"/>
          <w:numId w:val="1"/>
        </w:numPr>
        <w:tabs>
          <w:tab w:pos="1123" w:val="left" w:leader="none"/>
        </w:tabs>
        <w:spacing w:line="240" w:lineRule="auto" w:before="0" w:after="0"/>
        <w:ind w:left="1123" w:right="0" w:hanging="361"/>
        <w:jc w:val="both"/>
        <w:rPr>
          <w:sz w:val="24"/>
        </w:rPr>
      </w:pP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§</w:t>
      </w:r>
      <w:r>
        <w:rPr>
          <w:spacing w:val="-11"/>
          <w:sz w:val="24"/>
        </w:rPr>
        <w:t> </w:t>
      </w:r>
      <w:r>
        <w:rPr>
          <w:sz w:val="24"/>
        </w:rPr>
        <w:t>6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pkt</w:t>
      </w:r>
      <w:r>
        <w:rPr>
          <w:spacing w:val="-10"/>
          <w:sz w:val="24"/>
        </w:rPr>
        <w:t> </w:t>
      </w:r>
      <w:r>
        <w:rPr>
          <w:sz w:val="24"/>
        </w:rPr>
        <w:t>23</w:t>
      </w:r>
      <w:r>
        <w:rPr>
          <w:spacing w:val="-11"/>
          <w:sz w:val="24"/>
        </w:rPr>
        <w:t> </w:t>
      </w:r>
      <w:r>
        <w:rPr>
          <w:sz w:val="24"/>
        </w:rPr>
        <w:t>kropkę</w:t>
      </w:r>
      <w:r>
        <w:rPr>
          <w:spacing w:val="-11"/>
          <w:sz w:val="24"/>
        </w:rPr>
        <w:t> </w:t>
      </w:r>
      <w:r>
        <w:rPr>
          <w:sz w:val="24"/>
        </w:rPr>
        <w:t>zastępuje</w:t>
      </w:r>
      <w:r>
        <w:rPr>
          <w:spacing w:val="-10"/>
          <w:sz w:val="24"/>
        </w:rPr>
        <w:t> </w:t>
      </w:r>
      <w:r>
        <w:rPr>
          <w:sz w:val="24"/>
        </w:rPr>
        <w:t>się</w:t>
      </w:r>
      <w:r>
        <w:rPr>
          <w:spacing w:val="-11"/>
          <w:sz w:val="24"/>
        </w:rPr>
        <w:t> </w:t>
      </w:r>
      <w:r>
        <w:rPr>
          <w:sz w:val="24"/>
        </w:rPr>
        <w:t>średnikiem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dodaje</w:t>
      </w:r>
      <w:r>
        <w:rPr>
          <w:spacing w:val="-11"/>
          <w:sz w:val="24"/>
        </w:rPr>
        <w:t> </w:t>
      </w:r>
      <w:r>
        <w:rPr>
          <w:sz w:val="24"/>
        </w:rPr>
        <w:t>się</w:t>
      </w:r>
      <w:r>
        <w:rPr>
          <w:spacing w:val="-10"/>
          <w:sz w:val="24"/>
        </w:rPr>
        <w:t> </w:t>
      </w:r>
      <w:r>
        <w:rPr>
          <w:sz w:val="24"/>
        </w:rPr>
        <w:t>pkt</w:t>
      </w:r>
      <w:r>
        <w:rPr>
          <w:spacing w:val="-11"/>
          <w:sz w:val="24"/>
        </w:rPr>
        <w:t> </w:t>
      </w:r>
      <w:r>
        <w:rPr>
          <w:sz w:val="24"/>
        </w:rPr>
        <w:t>24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before="138"/>
        <w:ind w:left="904"/>
        <w:jc w:val="both"/>
      </w:pPr>
      <w:r>
        <w:rPr/>
        <w:t>„24) kompleksowe leczenie ran przewlekłych 2 (KLRP-2).”;</w:t>
      </w:r>
    </w:p>
    <w:p>
      <w:pPr>
        <w:pStyle w:val="ListParagraph"/>
        <w:numPr>
          <w:ilvl w:val="0"/>
          <w:numId w:val="1"/>
        </w:numPr>
        <w:tabs>
          <w:tab w:pos="1123" w:val="left" w:leader="none"/>
        </w:tabs>
        <w:spacing w:line="240" w:lineRule="auto" w:before="138" w:after="0"/>
        <w:ind w:left="1123" w:right="0" w:hanging="361"/>
        <w:jc w:val="both"/>
        <w:rPr>
          <w:sz w:val="24"/>
        </w:rPr>
      </w:pPr>
      <w:r>
        <w:rPr>
          <w:sz w:val="24"/>
        </w:rPr>
        <w:t>w § 11 ust. 7 otrzymuje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122" w:right="1095"/>
        <w:jc w:val="both"/>
      </w:pPr>
      <w:r>
        <w:rPr/>
        <w:t>„7. Nie dopuszcza się rozliczania świadczeń udzielonych w zakresach Kompleksowe</w:t>
      </w:r>
      <w:r>
        <w:rPr>
          <w:spacing w:val="-20"/>
        </w:rPr>
        <w:t> </w:t>
      </w:r>
      <w:r>
        <w:rPr/>
        <w:t>leczenie</w:t>
      </w:r>
      <w:r>
        <w:rPr>
          <w:spacing w:val="-21"/>
        </w:rPr>
        <w:t> </w:t>
      </w:r>
      <w:r>
        <w:rPr/>
        <w:t>ran</w:t>
      </w:r>
      <w:r>
        <w:rPr>
          <w:spacing w:val="-21"/>
        </w:rPr>
        <w:t> </w:t>
      </w:r>
      <w:r>
        <w:rPr/>
        <w:t>przewlekłych</w:t>
      </w:r>
      <w:r>
        <w:rPr>
          <w:spacing w:val="-21"/>
        </w:rPr>
        <w:t> </w:t>
      </w:r>
      <w:r>
        <w:rPr/>
        <w:t>(KLRP-1)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Kompleksowe</w:t>
      </w:r>
      <w:r>
        <w:rPr>
          <w:spacing w:val="-19"/>
        </w:rPr>
        <w:t> </w:t>
      </w:r>
      <w:r>
        <w:rPr/>
        <w:t>leczenie</w:t>
      </w:r>
      <w:r>
        <w:rPr>
          <w:spacing w:val="-21"/>
        </w:rPr>
        <w:t> </w:t>
      </w:r>
      <w:r>
        <w:rPr/>
        <w:t>ran przewlekłych 2 (KLRP-2), ze świadczeniami bezpośrednio dotyczącymi rany przewlekłej, udzielonymi w ramach innych zakresów i rodzajów świadczeń, przy czym szczegółowe zasady rozliczania, warunki realizacji świadczenia oraz sposób finansowania świadczeń w zakresie kompleksowe leczenie ran przewlekłych 2 (KLRP-2) jest określony w </w:t>
      </w:r>
      <w:r>
        <w:rPr>
          <w:b/>
        </w:rPr>
        <w:t>załączniku nr 16 </w:t>
      </w:r>
      <w:r>
        <w:rPr/>
        <w:t>do</w:t>
      </w:r>
      <w:r>
        <w:rPr>
          <w:spacing w:val="-24"/>
        </w:rPr>
        <w:t> </w:t>
      </w:r>
      <w:r>
        <w:rPr/>
        <w:t>zarządzenia.”;</w:t>
      </w:r>
    </w:p>
    <w:p>
      <w:pPr>
        <w:pStyle w:val="ListParagraph"/>
        <w:numPr>
          <w:ilvl w:val="0"/>
          <w:numId w:val="1"/>
        </w:numPr>
        <w:tabs>
          <w:tab w:pos="1123" w:val="left" w:leader="none"/>
        </w:tabs>
        <w:spacing w:line="240" w:lineRule="auto" w:before="0" w:after="0"/>
        <w:ind w:left="1123" w:right="0" w:hanging="361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załączniku</w:t>
      </w:r>
      <w:r>
        <w:rPr>
          <w:spacing w:val="-8"/>
          <w:sz w:val="24"/>
        </w:rPr>
        <w:t> </w:t>
      </w:r>
      <w:r>
        <w:rPr>
          <w:sz w:val="24"/>
        </w:rPr>
        <w:t>nr</w:t>
      </w:r>
      <w:r>
        <w:rPr>
          <w:spacing w:val="-7"/>
          <w:sz w:val="24"/>
        </w:rPr>
        <w:t> </w:t>
      </w:r>
      <w:r>
        <w:rPr>
          <w:sz w:val="24"/>
        </w:rPr>
        <w:t>1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dodaje</w:t>
      </w:r>
      <w:r>
        <w:rPr>
          <w:spacing w:val="-8"/>
          <w:sz w:val="24"/>
        </w:rPr>
        <w:t> </w:t>
      </w:r>
      <w:r>
        <w:rPr>
          <w:spacing w:val="-3"/>
          <w:sz w:val="24"/>
        </w:rPr>
        <w:t>się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wiersze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lp.145</w:t>
      </w:r>
      <w:r>
        <w:rPr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8"/>
          <w:sz w:val="24"/>
        </w:rPr>
        <w:t> </w:t>
      </w:r>
      <w:r>
        <w:rPr>
          <w:spacing w:val="-3"/>
          <w:sz w:val="24"/>
        </w:rPr>
        <w:t>156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brzmieniu:</w:t>
      </w:r>
    </w:p>
    <w:p>
      <w:pPr>
        <w:pStyle w:val="BodyText"/>
        <w:spacing w:before="138"/>
        <w:ind w:right="1149"/>
        <w:jc w:val="right"/>
      </w:pPr>
      <w:r>
        <w:rPr/>
        <w:t>„</w:t>
      </w:r>
    </w:p>
    <w:p>
      <w:pPr>
        <w:pStyle w:val="BodyText"/>
        <w:spacing w:before="1"/>
        <w:rPr>
          <w:sz w:val="15"/>
        </w:rPr>
      </w:pPr>
      <w:r>
        <w:rPr/>
        <w:pict>
          <v:shape style="position:absolute;margin-left:63.799999pt;margin-top:11.159471pt;width:143.5pt;height:.1pt;mso-position-horizontal-relative:page;mso-position-vertical-relative:paragraph;z-index:-15728640;mso-wrap-distance-left:0;mso-wrap-distance-right:0" coordorigin="1276,223" coordsize="2870,0" path="m1276,223l4146,223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95" w:right="1078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1) </w:t>
      </w:r>
      <w:r>
        <w:rPr>
          <w:sz w:val="20"/>
        </w:rPr>
        <w:t>Zmiany tekstu jednolitego wymienionej ustawy zostały ogłoszone w Dz.U. z 2020 r. poz. 1492, 1493, 1578, 1875, 2112 i 2345.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080" w:right="320"/>
        </w:sectPr>
      </w:pPr>
    </w:p>
    <w:tbl>
      <w:tblPr>
        <w:tblW w:w="0" w:type="auto"/>
        <w:jc w:val="left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4"/>
        <w:gridCol w:w="1281"/>
        <w:gridCol w:w="1161"/>
        <w:gridCol w:w="1372"/>
        <w:gridCol w:w="1627"/>
        <w:gridCol w:w="681"/>
        <w:gridCol w:w="850"/>
        <w:gridCol w:w="323"/>
        <w:gridCol w:w="364"/>
        <w:gridCol w:w="309"/>
        <w:gridCol w:w="1736"/>
      </w:tblGrid>
      <w:tr>
        <w:trPr>
          <w:trHeight w:val="1380" w:hRule="atLeast"/>
        </w:trPr>
        <w:tc>
          <w:tcPr>
            <w:tcW w:w="41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8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9"/>
              </w:rPr>
            </w:pPr>
          </w:p>
          <w:p>
            <w:pPr>
              <w:pStyle w:val="TableParagraph"/>
              <w:ind w:left="63" w:right="54"/>
              <w:jc w:val="center"/>
              <w:rPr>
                <w:sz w:val="20"/>
              </w:rPr>
            </w:pPr>
            <w:r>
              <w:rPr>
                <w:sz w:val="20"/>
              </w:rPr>
              <w:t>11.9000.002</w:t>
            </w:r>
          </w:p>
          <w:p>
            <w:pPr>
              <w:pStyle w:val="TableParagraph"/>
              <w:ind w:left="63" w:right="54"/>
              <w:jc w:val="center"/>
              <w:rPr>
                <w:sz w:val="20"/>
              </w:rPr>
            </w:pPr>
            <w:r>
              <w:rPr>
                <w:sz w:val="20"/>
              </w:rPr>
              <w:t>.02</w:t>
            </w:r>
          </w:p>
        </w:tc>
        <w:tc>
          <w:tcPr>
            <w:tcW w:w="116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85" w:right="7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Komplekso </w:t>
            </w:r>
            <w:r>
              <w:rPr>
                <w:sz w:val="20"/>
              </w:rPr>
              <w:t>we   leczenie ran  przewlekły ch 2 (KLRP-2)</w:t>
            </w:r>
          </w:p>
        </w:tc>
        <w:tc>
          <w:tcPr>
            <w:tcW w:w="137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KLRP-2</w:t>
            </w: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kwalifikacja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7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7"/>
              </w:rPr>
            </w:pPr>
          </w:p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613,84</w:t>
            </w:r>
          </w:p>
        </w:tc>
        <w:tc>
          <w:tcPr>
            <w:tcW w:w="3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7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</w:tcPr>
          <w:p>
            <w:pPr>
              <w:pStyle w:val="TableParagraph"/>
              <w:ind w:left="70" w:right="101"/>
              <w:rPr>
                <w:sz w:val="20"/>
              </w:rPr>
            </w:pPr>
            <w:r>
              <w:rPr>
                <w:sz w:val="20"/>
              </w:rPr>
              <w:t>obejmuje wizytę pielęgniarską i lekarską , (w tym badania) zgodnie</w:t>
            </w:r>
          </w:p>
          <w:p>
            <w:pPr>
              <w:pStyle w:val="TableParagraph"/>
              <w:spacing w:line="230" w:lineRule="atLeast"/>
              <w:ind w:left="70" w:right="191"/>
              <w:rPr>
                <w:sz w:val="20"/>
              </w:rPr>
            </w:pPr>
            <w:r>
              <w:rPr>
                <w:sz w:val="20"/>
              </w:rPr>
              <w:t>z opisem KLRP- 2;</w:t>
            </w:r>
          </w:p>
        </w:tc>
      </w:tr>
      <w:tr>
        <w:trPr>
          <w:trHeight w:val="2989" w:hRule="atLeast"/>
        </w:trPr>
        <w:tc>
          <w:tcPr>
            <w:tcW w:w="41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KLRP-2 etap I A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761,14</w:t>
            </w:r>
          </w:p>
        </w:tc>
        <w:tc>
          <w:tcPr>
            <w:tcW w:w="32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</w:tcPr>
          <w:p>
            <w:pPr>
              <w:pStyle w:val="TableParagraph"/>
              <w:ind w:left="70" w:right="68"/>
              <w:rPr>
                <w:sz w:val="20"/>
              </w:rPr>
            </w:pPr>
            <w:r>
              <w:rPr>
                <w:sz w:val="20"/>
              </w:rPr>
              <w:t>- ryczałt obejmuje 5 wizyt:</w:t>
            </w: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4 pielęgniarskie</w:t>
            </w:r>
          </w:p>
          <w:p>
            <w:pPr>
              <w:pStyle w:val="TableParagraph"/>
              <w:ind w:left="70" w:right="135"/>
              <w:rPr>
                <w:sz w:val="20"/>
              </w:rPr>
            </w:pPr>
            <w:r>
              <w:rPr>
                <w:sz w:val="20"/>
              </w:rPr>
              <w:t>oraz 1 wizytę kontrolna lekarską zgodnie z opisem KLRP- 2;</w:t>
            </w:r>
          </w:p>
          <w:p>
            <w:pPr>
              <w:pStyle w:val="TableParagraph"/>
              <w:spacing w:line="230" w:lineRule="atLeast"/>
              <w:ind w:left="70" w:right="179"/>
              <w:rPr>
                <w:sz w:val="20"/>
              </w:rPr>
            </w:pPr>
            <w:r>
              <w:rPr>
                <w:sz w:val="20"/>
              </w:rPr>
              <w:t>- w przypadku wizyt środowiskowych stosuje się mnożnik 1,1</w:t>
            </w:r>
          </w:p>
        </w:tc>
      </w:tr>
      <w:tr>
        <w:trPr>
          <w:trHeight w:val="2989" w:hRule="atLeast"/>
        </w:trPr>
        <w:tc>
          <w:tcPr>
            <w:tcW w:w="41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KLRP-2 etap I B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620,19</w:t>
            </w:r>
          </w:p>
        </w:tc>
        <w:tc>
          <w:tcPr>
            <w:tcW w:w="32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</w:tcPr>
          <w:p>
            <w:pPr>
              <w:pStyle w:val="TableParagraph"/>
              <w:ind w:left="70" w:right="68"/>
              <w:rPr>
                <w:sz w:val="20"/>
              </w:rPr>
            </w:pPr>
            <w:r>
              <w:rPr>
                <w:sz w:val="20"/>
              </w:rPr>
              <w:t>- ryczałt obejmuje 4 wizyty</w:t>
            </w: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3 pielęgniarskie</w:t>
            </w:r>
          </w:p>
          <w:p>
            <w:pPr>
              <w:pStyle w:val="TableParagraph"/>
              <w:ind w:left="70" w:right="79"/>
              <w:rPr>
                <w:sz w:val="20"/>
              </w:rPr>
            </w:pPr>
            <w:r>
              <w:rPr>
                <w:sz w:val="20"/>
              </w:rPr>
              <w:t>oraz 1 wizytę kontrolną lekarską, zgodnie z opisem KLRP- 2;</w:t>
            </w:r>
          </w:p>
          <w:p>
            <w:pPr>
              <w:pStyle w:val="TableParagraph"/>
              <w:spacing w:line="230" w:lineRule="atLeast"/>
              <w:ind w:left="70" w:right="179"/>
              <w:rPr>
                <w:sz w:val="20"/>
              </w:rPr>
            </w:pPr>
            <w:r>
              <w:rPr>
                <w:sz w:val="20"/>
              </w:rPr>
              <w:t>- w przypadku wizyt środowiskowych stosuje się mnożnik 1,1</w:t>
            </w:r>
          </w:p>
        </w:tc>
      </w:tr>
      <w:tr>
        <w:trPr>
          <w:trHeight w:val="2759" w:hRule="atLeast"/>
        </w:trPr>
        <w:tc>
          <w:tcPr>
            <w:tcW w:w="41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3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3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KLRP-2 etap I C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761,14</w:t>
            </w:r>
          </w:p>
        </w:tc>
        <w:tc>
          <w:tcPr>
            <w:tcW w:w="32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</w:tcPr>
          <w:p>
            <w:pPr>
              <w:pStyle w:val="TableParagraph"/>
              <w:ind w:left="70" w:right="68"/>
              <w:rPr>
                <w:sz w:val="20"/>
              </w:rPr>
            </w:pPr>
            <w:r>
              <w:rPr>
                <w:sz w:val="20"/>
              </w:rPr>
              <w:t>- ryczałt obejmuje 5 wizyt: 4 pielęgniarskie oraz 1 wizytę kontrolną lekarską, zgodnie z opisem KLRP- 2; - w przypadku wizyt środowiskowych stosuje się</w:t>
            </w:r>
          </w:p>
          <w:p>
            <w:pPr>
              <w:pStyle w:val="TableParagraph"/>
              <w:spacing w:line="214" w:lineRule="exact"/>
              <w:ind w:left="70"/>
              <w:rPr>
                <w:sz w:val="20"/>
              </w:rPr>
            </w:pPr>
            <w:r>
              <w:rPr>
                <w:sz w:val="20"/>
              </w:rPr>
              <w:t>mnożnik 1,1</w:t>
            </w:r>
          </w:p>
        </w:tc>
      </w:tr>
      <w:tr>
        <w:trPr>
          <w:trHeight w:val="1642" w:hRule="atLeast"/>
        </w:trPr>
        <w:tc>
          <w:tcPr>
            <w:tcW w:w="41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6"/>
              <w:ind w:left="69"/>
              <w:rPr>
                <w:sz w:val="20"/>
              </w:rPr>
            </w:pPr>
            <w:r>
              <w:rPr>
                <w:sz w:val="20"/>
              </w:rPr>
              <w:t>KLRP-2 etap I D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6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6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850,00</w:t>
            </w:r>
          </w:p>
        </w:tc>
        <w:tc>
          <w:tcPr>
            <w:tcW w:w="3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ind w:left="70" w:right="235" w:firstLine="55"/>
              <w:rPr>
                <w:sz w:val="20"/>
              </w:rPr>
            </w:pPr>
            <w:r>
              <w:rPr>
                <w:sz w:val="20"/>
              </w:rPr>
              <w:t>zgodnie z opisem KLRP-2</w:t>
            </w:r>
          </w:p>
        </w:tc>
      </w:tr>
      <w:tr>
        <w:trPr>
          <w:trHeight w:val="2989" w:hRule="atLeast"/>
        </w:trPr>
        <w:tc>
          <w:tcPr>
            <w:tcW w:w="41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69" w:right="216"/>
              <w:rPr>
                <w:sz w:val="20"/>
              </w:rPr>
            </w:pPr>
            <w:r>
              <w:rPr>
                <w:sz w:val="20"/>
              </w:rPr>
              <w:t>KLRP-2 etap II A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>
            <w:pPr>
              <w:pStyle w:val="TableParagraph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600,00</w:t>
            </w:r>
          </w:p>
        </w:tc>
        <w:tc>
          <w:tcPr>
            <w:tcW w:w="3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736" w:type="dxa"/>
          </w:tcPr>
          <w:p>
            <w:pPr>
              <w:pStyle w:val="TableParagraph"/>
              <w:ind w:left="70" w:right="202"/>
              <w:rPr>
                <w:sz w:val="20"/>
              </w:rPr>
            </w:pPr>
            <w:r>
              <w:rPr>
                <w:sz w:val="20"/>
              </w:rPr>
              <w:t>leczenie w oddziale szpitalnym - obejmuje chirurgiczne operacyjne oczyszczenie rany, miejscową terapię podciśnieniem, przeszczep allogeniczny</w:t>
            </w:r>
          </w:p>
          <w:p>
            <w:pPr>
              <w:pStyle w:val="TableParagraph"/>
              <w:spacing w:line="214" w:lineRule="exact"/>
              <w:ind w:left="70"/>
              <w:rPr>
                <w:sz w:val="20"/>
              </w:rPr>
            </w:pPr>
            <w:r>
              <w:rPr>
                <w:sz w:val="20"/>
              </w:rPr>
              <w:t>skóry lub owodni,</w:t>
            </w:r>
          </w:p>
        </w:tc>
      </w:tr>
    </w:tbl>
    <w:p>
      <w:pPr>
        <w:spacing w:after="0" w:line="214" w:lineRule="exact"/>
        <w:rPr>
          <w:sz w:val="20"/>
        </w:rPr>
        <w:sectPr>
          <w:pgSz w:w="11900" w:h="16840"/>
          <w:pgMar w:top="1280" w:bottom="280" w:left="1080" w:right="320"/>
        </w:sectPr>
      </w:pPr>
    </w:p>
    <w:tbl>
      <w:tblPr>
        <w:tblW w:w="0" w:type="auto"/>
        <w:jc w:val="left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4"/>
        <w:gridCol w:w="1281"/>
        <w:gridCol w:w="1161"/>
        <w:gridCol w:w="1372"/>
        <w:gridCol w:w="1627"/>
        <w:gridCol w:w="681"/>
        <w:gridCol w:w="850"/>
        <w:gridCol w:w="323"/>
        <w:gridCol w:w="364"/>
        <w:gridCol w:w="309"/>
        <w:gridCol w:w="1736"/>
      </w:tblGrid>
      <w:tr>
        <w:trPr>
          <w:trHeight w:val="1633" w:hRule="atLeast"/>
        </w:trPr>
        <w:tc>
          <w:tcPr>
            <w:tcW w:w="41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1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70"/>
              <w:rPr>
                <w:sz w:val="20"/>
              </w:rPr>
            </w:pPr>
            <w:r>
              <w:rPr>
                <w:sz w:val="20"/>
              </w:rPr>
              <w:t>zgodnie z opisem</w:t>
            </w: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KLRP-2;</w:t>
            </w:r>
          </w:p>
          <w:p>
            <w:pPr>
              <w:pStyle w:val="TableParagraph"/>
              <w:ind w:left="70" w:right="123"/>
              <w:rPr>
                <w:sz w:val="20"/>
              </w:rPr>
            </w:pPr>
            <w:r>
              <w:rPr>
                <w:sz w:val="20"/>
              </w:rPr>
              <w:t>przewidywany czas pobytu do 7 dni</w:t>
            </w:r>
          </w:p>
        </w:tc>
      </w:tr>
      <w:tr>
        <w:trPr>
          <w:trHeight w:val="3449" w:hRule="atLeast"/>
        </w:trPr>
        <w:tc>
          <w:tcPr>
            <w:tcW w:w="41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69" w:right="216"/>
              <w:rPr>
                <w:sz w:val="20"/>
              </w:rPr>
            </w:pPr>
            <w:r>
              <w:rPr>
                <w:sz w:val="20"/>
              </w:rPr>
              <w:t>KLRP-2 etap II B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>
            <w:pPr>
              <w:pStyle w:val="TableParagraph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600,00</w:t>
            </w:r>
          </w:p>
        </w:tc>
        <w:tc>
          <w:tcPr>
            <w:tcW w:w="3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736" w:type="dxa"/>
          </w:tcPr>
          <w:p>
            <w:pPr>
              <w:pStyle w:val="TableParagraph"/>
              <w:ind w:left="70" w:right="97"/>
              <w:rPr>
                <w:sz w:val="20"/>
              </w:rPr>
            </w:pPr>
            <w:r>
              <w:rPr>
                <w:sz w:val="20"/>
              </w:rPr>
              <w:t>leczenie w oddziale szpitalnym - obejmuje kompleksowe leczenie chirurgiczne (operacyjne oczyszczenie i przeszczep) zgodnie z opisem KLRP-2;</w:t>
            </w:r>
          </w:p>
          <w:p>
            <w:pPr>
              <w:pStyle w:val="TableParagraph"/>
              <w:spacing w:line="230" w:lineRule="atLeast"/>
              <w:ind w:left="70" w:right="224"/>
              <w:rPr>
                <w:sz w:val="20"/>
              </w:rPr>
            </w:pPr>
            <w:r>
              <w:rPr>
                <w:sz w:val="20"/>
              </w:rPr>
              <w:t>przewidywany czas pobytu minimum 10 dni</w:t>
            </w:r>
          </w:p>
        </w:tc>
      </w:tr>
      <w:tr>
        <w:trPr>
          <w:trHeight w:val="2299" w:hRule="atLeast"/>
        </w:trPr>
        <w:tc>
          <w:tcPr>
            <w:tcW w:w="41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7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7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KLRP-2 etap III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90,00</w:t>
            </w:r>
          </w:p>
        </w:tc>
        <w:tc>
          <w:tcPr>
            <w:tcW w:w="32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193" w:val="left" w:leader="none"/>
              </w:tabs>
              <w:spacing w:line="240" w:lineRule="auto" w:before="0" w:after="0"/>
              <w:ind w:left="70" w:right="97" w:firstLine="0"/>
              <w:jc w:val="left"/>
              <w:rPr>
                <w:sz w:val="20"/>
              </w:rPr>
            </w:pPr>
            <w:r>
              <w:rPr>
                <w:sz w:val="20"/>
              </w:rPr>
              <w:t>za 1 wizytę zgodnie z </w:t>
            </w:r>
            <w:r>
              <w:rPr>
                <w:spacing w:val="-3"/>
                <w:sz w:val="20"/>
              </w:rPr>
              <w:t>opisem </w:t>
            </w:r>
            <w:r>
              <w:rPr>
                <w:sz w:val="20"/>
              </w:rPr>
              <w:t>KLRP-2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93" w:val="left" w:leader="none"/>
              </w:tabs>
              <w:spacing w:line="240" w:lineRule="auto" w:before="0" w:after="0"/>
              <w:ind w:left="192" w:right="0" w:hanging="123"/>
              <w:jc w:val="left"/>
              <w:rPr>
                <w:sz w:val="20"/>
              </w:rPr>
            </w:pPr>
            <w:r>
              <w:rPr>
                <w:sz w:val="20"/>
              </w:rPr>
              <w:t>można rozliczyć</w:t>
            </w: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do 5 wizyt;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93" w:val="left" w:leader="none"/>
              </w:tabs>
              <w:spacing w:line="230" w:lineRule="atLeast" w:before="0" w:after="0"/>
              <w:ind w:left="70" w:right="197" w:firstLine="0"/>
              <w:jc w:val="left"/>
              <w:rPr>
                <w:sz w:val="20"/>
              </w:rPr>
            </w:pPr>
            <w:r>
              <w:rPr>
                <w:sz w:val="20"/>
              </w:rPr>
              <w:t>w przypadku wizyt środowiskowych stosuje się mnożnik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1,1</w:t>
            </w:r>
          </w:p>
        </w:tc>
      </w:tr>
      <w:tr>
        <w:trPr>
          <w:trHeight w:val="2299" w:hRule="atLeast"/>
        </w:trPr>
        <w:tc>
          <w:tcPr>
            <w:tcW w:w="41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7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57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koszt transportu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93" w:val="left" w:leader="none"/>
              </w:tabs>
              <w:spacing w:line="240" w:lineRule="auto" w:before="0" w:after="0"/>
              <w:ind w:left="70" w:right="110" w:firstLine="0"/>
              <w:jc w:val="left"/>
              <w:rPr>
                <w:sz w:val="20"/>
              </w:rPr>
            </w:pPr>
            <w:r>
              <w:rPr>
                <w:sz w:val="20"/>
              </w:rPr>
              <w:t>koszt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transportu sanitarnego rozliczany zgodnie z zasadami określonymi w zarządzeniu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poz;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93" w:val="left" w:leader="none"/>
              </w:tabs>
              <w:spacing w:line="230" w:lineRule="atLeast" w:before="0" w:after="0"/>
              <w:ind w:left="70" w:right="209" w:firstLine="0"/>
              <w:jc w:val="left"/>
              <w:rPr>
                <w:sz w:val="20"/>
              </w:rPr>
            </w:pPr>
            <w:r>
              <w:rPr>
                <w:sz w:val="20"/>
              </w:rPr>
              <w:t>rozliczanie maksymalnie </w:t>
            </w:r>
            <w:r>
              <w:rPr>
                <w:spacing w:val="-9"/>
                <w:sz w:val="20"/>
              </w:rPr>
              <w:t>do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transportów</w:t>
            </w:r>
          </w:p>
        </w:tc>
      </w:tr>
      <w:tr>
        <w:trPr>
          <w:trHeight w:val="1150" w:hRule="atLeast"/>
        </w:trPr>
        <w:tc>
          <w:tcPr>
            <w:tcW w:w="414" w:type="dxa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1627" w:type="dxa"/>
          </w:tcPr>
          <w:p>
            <w:pPr>
              <w:pStyle w:val="TableParagraph"/>
              <w:spacing w:before="111"/>
              <w:ind w:left="69"/>
              <w:rPr>
                <w:sz w:val="20"/>
              </w:rPr>
            </w:pPr>
            <w:r>
              <w:rPr>
                <w:sz w:val="20"/>
              </w:rPr>
              <w:t>KLRP-2 etap IV</w:t>
            </w:r>
          </w:p>
          <w:p>
            <w:pPr>
              <w:pStyle w:val="TableParagraph"/>
              <w:ind w:left="69" w:right="427"/>
              <w:rPr>
                <w:sz w:val="20"/>
              </w:rPr>
            </w:pPr>
            <w:r>
              <w:rPr>
                <w:sz w:val="20"/>
              </w:rPr>
              <w:t>- wizyta ewaluacyjna typu A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50" w:type="dxa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>
            <w:pPr>
              <w:pStyle w:val="TableParagraph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000,00</w:t>
            </w:r>
          </w:p>
        </w:tc>
        <w:tc>
          <w:tcPr>
            <w:tcW w:w="3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</w:tcPr>
          <w:p>
            <w:pPr>
              <w:pStyle w:val="TableParagraph"/>
              <w:ind w:left="70" w:right="68"/>
              <w:rPr>
                <w:sz w:val="20"/>
              </w:rPr>
            </w:pPr>
            <w:r>
              <w:rPr>
                <w:sz w:val="20"/>
              </w:rPr>
              <w:t>- zamknięcie rany 100%</w:t>
            </w:r>
          </w:p>
          <w:p>
            <w:pPr>
              <w:pStyle w:val="TableParagraph"/>
              <w:spacing w:line="230" w:lineRule="atLeast"/>
              <w:ind w:left="70" w:right="146"/>
              <w:rPr>
                <w:sz w:val="20"/>
              </w:rPr>
            </w:pPr>
            <w:r>
              <w:rPr>
                <w:sz w:val="20"/>
              </w:rPr>
              <w:t>potwierdzone zdjęciem i oceną planimetryczną;</w:t>
            </w:r>
          </w:p>
        </w:tc>
      </w:tr>
      <w:tr>
        <w:trPr>
          <w:trHeight w:val="2529" w:hRule="atLeast"/>
        </w:trPr>
        <w:tc>
          <w:tcPr>
            <w:tcW w:w="41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81" w:right="72"/>
              <w:jc w:val="center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162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KLRP-2 etap IV</w:t>
            </w:r>
          </w:p>
          <w:p>
            <w:pPr>
              <w:pStyle w:val="TableParagraph"/>
              <w:ind w:left="69" w:right="427"/>
              <w:rPr>
                <w:sz w:val="20"/>
              </w:rPr>
            </w:pPr>
            <w:r>
              <w:rPr>
                <w:sz w:val="20"/>
              </w:rPr>
              <w:t>- wizyta ewaluacyjna typu B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3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>
            <w:pPr>
              <w:pStyle w:val="TableParagraph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000,00</w:t>
            </w:r>
          </w:p>
        </w:tc>
        <w:tc>
          <w:tcPr>
            <w:tcW w:w="3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3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193" w:val="left" w:leader="none"/>
              </w:tabs>
              <w:spacing w:line="240" w:lineRule="auto" w:before="0" w:after="0"/>
              <w:ind w:left="70" w:right="86" w:firstLine="0"/>
              <w:jc w:val="left"/>
              <w:rPr>
                <w:sz w:val="20"/>
              </w:rPr>
            </w:pPr>
            <w:r>
              <w:rPr>
                <w:sz w:val="20"/>
              </w:rPr>
              <w:t>zamknięcie </w:t>
            </w:r>
            <w:r>
              <w:rPr>
                <w:spacing w:val="-5"/>
                <w:sz w:val="20"/>
              </w:rPr>
              <w:t>rany </w:t>
            </w:r>
            <w:r>
              <w:rPr>
                <w:sz w:val="20"/>
              </w:rPr>
              <w:t>powyżej 60 % powierzchni, potwierdzone zdjęciem i oceną planimetryczną;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93" w:val="left" w:leader="none"/>
              </w:tabs>
              <w:spacing w:line="230" w:lineRule="atLeast" w:before="0" w:after="0"/>
              <w:ind w:left="70" w:right="120" w:firstLine="0"/>
              <w:jc w:val="left"/>
              <w:rPr>
                <w:sz w:val="20"/>
              </w:rPr>
            </w:pPr>
            <w:r>
              <w:rPr>
                <w:sz w:val="20"/>
              </w:rPr>
              <w:t>nie można rozliczać łącznie z wizytą ewaluacyjną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typu B</w:t>
            </w:r>
          </w:p>
        </w:tc>
      </w:tr>
      <w:tr>
        <w:trPr>
          <w:trHeight w:val="1149" w:hRule="atLeast"/>
        </w:trPr>
        <w:tc>
          <w:tcPr>
            <w:tcW w:w="414" w:type="dxa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5.10.00.0000</w:t>
            </w: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627" w:type="dxa"/>
          </w:tcPr>
          <w:p>
            <w:pPr>
              <w:pStyle w:val="TableParagraph"/>
              <w:ind w:left="69" w:right="160"/>
              <w:rPr>
                <w:sz w:val="20"/>
              </w:rPr>
            </w:pPr>
            <w:r>
              <w:rPr>
                <w:sz w:val="20"/>
              </w:rPr>
              <w:t>koszt pobytu przedstawiciela ustawowego</w:t>
            </w:r>
          </w:p>
          <w:p>
            <w:pPr>
              <w:pStyle w:val="TableParagraph"/>
              <w:spacing w:line="230" w:lineRule="atLeast"/>
              <w:ind w:left="69" w:right="282"/>
              <w:rPr>
                <w:sz w:val="20"/>
              </w:rPr>
            </w:pPr>
            <w:r>
              <w:rPr>
                <w:sz w:val="20"/>
              </w:rPr>
              <w:t>albo opiekuna faktycznego</w:t>
            </w:r>
          </w:p>
        </w:tc>
        <w:tc>
          <w:tcPr>
            <w:tcW w:w="68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75" w:right="66"/>
              <w:jc w:val="center"/>
              <w:rPr>
                <w:sz w:val="2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3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736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193" w:val="left" w:leader="none"/>
              </w:tabs>
              <w:spacing w:line="226" w:lineRule="exact" w:before="0" w:after="0"/>
              <w:ind w:left="192" w:right="0" w:hanging="123"/>
              <w:jc w:val="left"/>
              <w:rPr>
                <w:sz w:val="20"/>
              </w:rPr>
            </w:pPr>
            <w:r>
              <w:rPr>
                <w:sz w:val="20"/>
              </w:rPr>
              <w:t>za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osobodzień;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93" w:val="left" w:leader="none"/>
              </w:tabs>
              <w:spacing w:line="240" w:lineRule="auto" w:before="0" w:after="0"/>
              <w:ind w:left="70" w:right="97" w:firstLine="0"/>
              <w:jc w:val="left"/>
              <w:rPr>
                <w:sz w:val="20"/>
              </w:rPr>
            </w:pPr>
            <w:r>
              <w:rPr>
                <w:sz w:val="20"/>
              </w:rPr>
              <w:t>do rozliczania z produktem: </w:t>
            </w:r>
            <w:r>
              <w:rPr>
                <w:spacing w:val="-1"/>
                <w:sz w:val="20"/>
              </w:rPr>
              <w:t>5.10.00.0000163,</w:t>
            </w:r>
          </w:p>
          <w:p>
            <w:pPr>
              <w:pStyle w:val="TableParagraph"/>
              <w:spacing w:line="214" w:lineRule="exact"/>
              <w:ind w:left="70"/>
              <w:rPr>
                <w:sz w:val="20"/>
              </w:rPr>
            </w:pPr>
            <w:r>
              <w:rPr>
                <w:sz w:val="20"/>
              </w:rPr>
              <w:t>5.10.00.0000164;</w:t>
            </w:r>
          </w:p>
        </w:tc>
      </w:tr>
    </w:tbl>
    <w:p>
      <w:pPr>
        <w:spacing w:before="29"/>
        <w:ind w:left="0" w:right="109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80" w:bottom="280" w:left="1080" w:right="320"/>
        </w:sectPr>
      </w:pPr>
    </w:p>
    <w:tbl>
      <w:tblPr>
        <w:tblW w:w="0" w:type="auto"/>
        <w:jc w:val="left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4"/>
        <w:gridCol w:w="1281"/>
        <w:gridCol w:w="1161"/>
        <w:gridCol w:w="1372"/>
        <w:gridCol w:w="1627"/>
        <w:gridCol w:w="681"/>
        <w:gridCol w:w="850"/>
        <w:gridCol w:w="323"/>
        <w:gridCol w:w="364"/>
        <w:gridCol w:w="309"/>
        <w:gridCol w:w="1736"/>
      </w:tblGrid>
      <w:tr>
        <w:trPr>
          <w:trHeight w:val="8959" w:hRule="atLeast"/>
        </w:trPr>
        <w:tc>
          <w:tcPr>
            <w:tcW w:w="41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7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69"/>
              <w:rPr>
                <w:sz w:val="20"/>
              </w:rPr>
            </w:pPr>
            <w:r>
              <w:rPr>
                <w:sz w:val="20"/>
              </w:rPr>
              <w:t>przy pacjencie</w:t>
            </w:r>
          </w:p>
          <w:p>
            <w:pPr>
              <w:pStyle w:val="TableParagraph"/>
              <w:ind w:left="69" w:right="127"/>
              <w:rPr>
                <w:sz w:val="20"/>
              </w:rPr>
            </w:pPr>
            <w:r>
              <w:rPr>
                <w:sz w:val="20"/>
              </w:rPr>
              <w:t>małoletnim lub posiadającym orzeczenie o znacznym stopniu niepełnosprawn ości.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193" w:val="left" w:leader="none"/>
              </w:tabs>
              <w:spacing w:line="216" w:lineRule="exact" w:before="0" w:after="0"/>
              <w:ind w:left="192" w:right="0" w:hanging="123"/>
              <w:jc w:val="left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rozliczenia</w:t>
            </w:r>
          </w:p>
          <w:p>
            <w:pPr>
              <w:pStyle w:val="TableParagraph"/>
              <w:ind w:left="70" w:right="99"/>
              <w:rPr>
                <w:sz w:val="20"/>
              </w:rPr>
            </w:pPr>
            <w:r>
              <w:rPr>
                <w:sz w:val="20"/>
              </w:rPr>
              <w:t>niezbędne jest oświadczenie przedstawiciela ustawowego albo opiekuna faktycznego pacjenta zgodnie ze wzorem stanowiącym załącznik nr 15 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zarządzenia;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93" w:val="left" w:leader="none"/>
              </w:tabs>
              <w:spacing w:line="240" w:lineRule="auto" w:before="0" w:after="0"/>
              <w:ind w:left="70" w:right="86" w:firstLine="0"/>
              <w:jc w:val="left"/>
              <w:rPr>
                <w:sz w:val="20"/>
              </w:rPr>
            </w:pPr>
            <w:r>
              <w:rPr>
                <w:sz w:val="20"/>
              </w:rPr>
              <w:t>w przypadku opieki nad pacjentem posiadającym orzeczenie o znacznym stopniu niepełnosprawno ści konieczne </w:t>
            </w:r>
            <w:r>
              <w:rPr>
                <w:spacing w:val="-5"/>
                <w:sz w:val="20"/>
              </w:rPr>
              <w:t>jest </w:t>
            </w:r>
            <w:r>
              <w:rPr>
                <w:sz w:val="20"/>
              </w:rPr>
              <w:t>przekazanie kodu uprawnienia;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93" w:val="left" w:leader="none"/>
              </w:tabs>
              <w:spacing w:line="230" w:lineRule="atLeast" w:before="0" w:after="0"/>
              <w:ind w:left="70" w:right="64" w:firstLine="0"/>
              <w:jc w:val="left"/>
              <w:rPr>
                <w:sz w:val="20"/>
              </w:rPr>
            </w:pPr>
            <w:r>
              <w:rPr>
                <w:sz w:val="20"/>
              </w:rPr>
              <w:t>rozliczany wyłącznie w przypadku sprawowania dodatkowej opieki pielęgnacyjnej, o której mowa w art. 34 ust. 3 ustawy z dnia 16 maja 2019 r. o zmianie ustawy o prawach pacjenta i Rzeczniku Praw Pacjenta (Dz. U. z 2019 r. poz.1128).</w:t>
            </w:r>
          </w:p>
        </w:tc>
      </w:tr>
    </w:tbl>
    <w:p>
      <w:pPr>
        <w:pStyle w:val="BodyText"/>
        <w:tabs>
          <w:tab w:pos="9280" w:val="left" w:leader="none"/>
        </w:tabs>
        <w:spacing w:line="272" w:lineRule="exact"/>
        <w:ind w:left="195"/>
      </w:pPr>
      <w:r>
        <w:rPr/>
        <w:t>„</w:t>
        <w:tab/>
        <w:t>;</w:t>
      </w:r>
    </w:p>
    <w:p>
      <w:pPr>
        <w:pStyle w:val="ListParagraph"/>
        <w:numPr>
          <w:ilvl w:val="0"/>
          <w:numId w:val="1"/>
        </w:numPr>
        <w:tabs>
          <w:tab w:pos="1123" w:val="left" w:leader="none"/>
        </w:tabs>
        <w:spacing w:line="360" w:lineRule="auto" w:before="138" w:after="0"/>
        <w:ind w:left="1122" w:right="1092" w:hanging="360"/>
        <w:jc w:val="left"/>
        <w:rPr>
          <w:sz w:val="24"/>
        </w:rPr>
      </w:pPr>
      <w:r>
        <w:rPr>
          <w:spacing w:val="-4"/>
          <w:sz w:val="24"/>
        </w:rPr>
        <w:t>załącznik </w:t>
      </w:r>
      <w:r>
        <w:rPr>
          <w:sz w:val="24"/>
        </w:rPr>
        <w:t>nr 2a do zarządzenia </w:t>
      </w:r>
      <w:r>
        <w:rPr>
          <w:spacing w:val="-4"/>
          <w:sz w:val="24"/>
        </w:rPr>
        <w:t>otrzymuje  brzmienie  określone  </w:t>
      </w:r>
      <w:r>
        <w:rPr>
          <w:sz w:val="24"/>
        </w:rPr>
        <w:t>w </w:t>
      </w:r>
      <w:r>
        <w:rPr>
          <w:spacing w:val="-6"/>
          <w:sz w:val="24"/>
        </w:rPr>
        <w:t>załączniku </w:t>
      </w:r>
      <w:r>
        <w:rPr>
          <w:sz w:val="24"/>
        </w:rPr>
        <w:t>nr 1 do </w:t>
      </w:r>
      <w:r>
        <w:rPr>
          <w:spacing w:val="-4"/>
          <w:sz w:val="24"/>
        </w:rPr>
        <w:t>niniejszego</w:t>
      </w:r>
      <w:r>
        <w:rPr>
          <w:spacing w:val="-32"/>
          <w:sz w:val="24"/>
        </w:rPr>
        <w:t> </w:t>
      </w:r>
      <w:r>
        <w:rPr>
          <w:spacing w:val="-4"/>
          <w:sz w:val="24"/>
        </w:rPr>
        <w:t>zarządzenia;</w:t>
      </w:r>
    </w:p>
    <w:p>
      <w:pPr>
        <w:pStyle w:val="ListParagraph"/>
        <w:numPr>
          <w:ilvl w:val="0"/>
          <w:numId w:val="1"/>
        </w:numPr>
        <w:tabs>
          <w:tab w:pos="1123" w:val="left" w:leader="none"/>
        </w:tabs>
        <w:spacing w:line="240" w:lineRule="auto" w:before="0" w:after="0"/>
        <w:ind w:left="1123" w:right="0" w:hanging="361"/>
        <w:jc w:val="left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załączniku</w:t>
      </w:r>
      <w:r>
        <w:rPr>
          <w:spacing w:val="-8"/>
          <w:sz w:val="24"/>
        </w:rPr>
        <w:t> </w:t>
      </w:r>
      <w:r>
        <w:rPr>
          <w:sz w:val="24"/>
        </w:rPr>
        <w:t>nr</w:t>
      </w:r>
      <w:r>
        <w:rPr>
          <w:spacing w:val="-8"/>
          <w:sz w:val="24"/>
        </w:rPr>
        <w:t> </w:t>
      </w:r>
      <w:r>
        <w:rPr>
          <w:sz w:val="24"/>
        </w:rPr>
        <w:t>3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zarządzenia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dodaje</w:t>
      </w:r>
      <w:r>
        <w:rPr>
          <w:spacing w:val="-8"/>
          <w:sz w:val="24"/>
        </w:rPr>
        <w:t> </w:t>
      </w:r>
      <w:r>
        <w:rPr>
          <w:spacing w:val="-3"/>
          <w:sz w:val="24"/>
        </w:rPr>
        <w:t>się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część</w:t>
      </w:r>
      <w:r>
        <w:rPr>
          <w:spacing w:val="-8"/>
          <w:sz w:val="24"/>
        </w:rPr>
        <w:t> </w:t>
      </w:r>
      <w:r>
        <w:rPr>
          <w:sz w:val="24"/>
        </w:rPr>
        <w:t>23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brzmieniu: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5"/>
        </w:rPr>
      </w:pPr>
    </w:p>
    <w:tbl>
      <w:tblPr>
        <w:tblW w:w="0" w:type="auto"/>
        <w:jc w:val="left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8897"/>
      </w:tblGrid>
      <w:tr>
        <w:trPr>
          <w:trHeight w:val="487" w:hRule="atLeast"/>
        </w:trPr>
        <w:tc>
          <w:tcPr>
            <w:tcW w:w="934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</w:tcPr>
          <w:p>
            <w:pPr>
              <w:pStyle w:val="TableParagraph"/>
              <w:spacing w:before="54"/>
              <w:ind w:left="1372"/>
              <w:rPr>
                <w:sz w:val="22"/>
              </w:rPr>
            </w:pPr>
            <w:r>
              <w:rPr>
                <w:sz w:val="22"/>
              </w:rPr>
              <w:t>23. KOMPLEKSOWE LECZENIE RAN PRZEWLEKŁYCH (KLRP-2)</w:t>
            </w:r>
          </w:p>
        </w:tc>
      </w:tr>
      <w:tr>
        <w:trPr>
          <w:trHeight w:val="867" w:hRule="atLeast"/>
        </w:trPr>
        <w:tc>
          <w:tcPr>
            <w:tcW w:w="934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54"/>
              <w:ind w:left="70"/>
              <w:rPr>
                <w:sz w:val="22"/>
              </w:rPr>
            </w:pPr>
            <w:r>
              <w:rPr>
                <w:sz w:val="22"/>
              </w:rPr>
              <w:t>23.1 WARUNKI WYMAGANE - zgodnie z obowiązującym rozporządzeniem oraz</w:t>
            </w:r>
          </w:p>
          <w:p>
            <w:pPr>
              <w:pStyle w:val="TableParagraph"/>
              <w:spacing w:before="126"/>
              <w:ind w:left="70"/>
              <w:rPr>
                <w:sz w:val="22"/>
              </w:rPr>
            </w:pPr>
            <w:r>
              <w:rPr>
                <w:sz w:val="22"/>
              </w:rPr>
              <w:t>rozporządzeniem poz</w:t>
            </w:r>
          </w:p>
        </w:tc>
      </w:tr>
      <w:tr>
        <w:trPr>
          <w:trHeight w:val="2276" w:hRule="atLeast"/>
        </w:trPr>
        <w:tc>
          <w:tcPr>
            <w:tcW w:w="44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75"/>
              <w:rPr>
                <w:sz w:val="22"/>
              </w:rPr>
            </w:pPr>
            <w:r>
              <w:rPr>
                <w:sz w:val="22"/>
              </w:rPr>
              <w:t>Zgodnie z załącznikiem Nr 1 do rozporządzenia: Lp. 4 (Poradnia specjalistyczna - diabetologia) lub</w:t>
            </w:r>
          </w:p>
          <w:p>
            <w:pPr>
              <w:pStyle w:val="TableParagraph"/>
              <w:spacing w:line="360" w:lineRule="auto"/>
              <w:ind w:left="75"/>
              <w:rPr>
                <w:sz w:val="22"/>
              </w:rPr>
            </w:pPr>
            <w:r>
              <w:rPr>
                <w:sz w:val="22"/>
              </w:rPr>
              <w:t>zgodnie z załącznikiem Nr 1 do rozporządzenia: Lp. 16 (Poradnia specjalistyczna - leczenia chorób naczyń) lub</w:t>
            </w:r>
          </w:p>
          <w:p>
            <w:pPr>
              <w:pStyle w:val="TableParagraph"/>
              <w:ind w:left="75"/>
              <w:rPr>
                <w:sz w:val="22"/>
              </w:rPr>
            </w:pPr>
            <w:r>
              <w:rPr>
                <w:sz w:val="22"/>
              </w:rPr>
              <w:t>zgodnie z załącznikiem Nr 1 do rozporządzenia: Lp. 36 (Poradnia specjalistyczna -</w:t>
            </w:r>
          </w:p>
          <w:p>
            <w:pPr>
              <w:pStyle w:val="TableParagraph"/>
              <w:spacing w:before="126"/>
              <w:ind w:left="75"/>
              <w:rPr>
                <w:sz w:val="22"/>
              </w:rPr>
            </w:pPr>
            <w:r>
              <w:rPr>
                <w:sz w:val="22"/>
              </w:rPr>
              <w:t>chirurgia ogólna) lub</w:t>
            </w:r>
          </w:p>
        </w:tc>
      </w:tr>
    </w:tbl>
    <w:p>
      <w:pPr>
        <w:spacing w:after="0"/>
        <w:rPr>
          <w:sz w:val="22"/>
        </w:rPr>
        <w:sectPr>
          <w:pgSz w:w="11900" w:h="16840"/>
          <w:pgMar w:top="1280" w:bottom="280" w:left="1080" w:right="32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8897"/>
      </w:tblGrid>
      <w:tr>
        <w:trPr>
          <w:trHeight w:val="2006" w:hRule="atLeast"/>
        </w:trPr>
        <w:tc>
          <w:tcPr>
            <w:tcW w:w="449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97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360" w:lineRule="auto"/>
              <w:ind w:left="75" w:right="34"/>
              <w:rPr>
                <w:sz w:val="22"/>
              </w:rPr>
            </w:pPr>
            <w:r>
              <w:rPr>
                <w:sz w:val="22"/>
              </w:rPr>
              <w:t>zgodnie z załącznikiem Nr 1 do rozporządzenia poz (Porada lekarska lekarza podstawowej opieki zdrowotnej) oraz</w:t>
            </w:r>
          </w:p>
          <w:p>
            <w:pPr>
              <w:pStyle w:val="TableParagraph"/>
              <w:ind w:left="75"/>
              <w:rPr>
                <w:sz w:val="22"/>
              </w:rPr>
            </w:pPr>
            <w:r>
              <w:rPr>
                <w:sz w:val="22"/>
              </w:rPr>
              <w:t>zgodnie z załącznikiem Nr 2 do rozporządzenia poz (Porada pielęgniarska)</w:t>
            </w:r>
          </w:p>
        </w:tc>
      </w:tr>
      <w:tr>
        <w:trPr>
          <w:trHeight w:val="420" w:hRule="atLeast"/>
        </w:trPr>
        <w:tc>
          <w:tcPr>
            <w:tcW w:w="934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70"/>
              <w:rPr>
                <w:sz w:val="22"/>
              </w:rPr>
            </w:pPr>
            <w:r>
              <w:rPr>
                <w:sz w:val="22"/>
              </w:rPr>
              <w:t>23.2 WARUNKI WYMAGANE - zgodnie z obowiązującym rozporządzeniem szpitalnym</w:t>
            </w:r>
          </w:p>
        </w:tc>
      </w:tr>
      <w:tr>
        <w:trPr>
          <w:trHeight w:val="2276" w:hRule="atLeast"/>
        </w:trPr>
        <w:tc>
          <w:tcPr>
            <w:tcW w:w="4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360" w:lineRule="auto"/>
              <w:ind w:left="75"/>
              <w:rPr>
                <w:sz w:val="22"/>
              </w:rPr>
            </w:pPr>
            <w:r>
              <w:rPr>
                <w:sz w:val="22"/>
              </w:rPr>
              <w:t>Zgodnie z załącznikiem Nr 3 do rozporządzenia szpitalnego: cz.I Lp. 7 (Chirurgia naczyniowa) lub</w:t>
            </w:r>
          </w:p>
          <w:p>
            <w:pPr>
              <w:pStyle w:val="TableParagraph"/>
              <w:spacing w:line="360" w:lineRule="auto"/>
              <w:ind w:left="75"/>
              <w:rPr>
                <w:sz w:val="22"/>
              </w:rPr>
            </w:pPr>
            <w:r>
              <w:rPr>
                <w:sz w:val="22"/>
              </w:rPr>
              <w:t>zgodnie z załącznikiem Nr 3 do rozporządzenia szpitalnego: cz.I Lp. 8 (Chirurgia naczyniowa - drugi poziom referencyjny) lub</w:t>
            </w:r>
          </w:p>
          <w:p>
            <w:pPr>
              <w:pStyle w:val="TableParagraph"/>
              <w:ind w:left="75"/>
              <w:rPr>
                <w:sz w:val="22"/>
              </w:rPr>
            </w:pPr>
            <w:r>
              <w:rPr>
                <w:sz w:val="22"/>
              </w:rPr>
              <w:t>zgodnie z załącznikiem Nr 3 do rozporządzenia szpitalnego: cz.I Lp. 9 (Chirurgia</w:t>
            </w:r>
          </w:p>
          <w:p>
            <w:pPr>
              <w:pStyle w:val="TableParagraph"/>
              <w:spacing w:before="126"/>
              <w:ind w:left="75"/>
              <w:rPr>
                <w:sz w:val="22"/>
              </w:rPr>
            </w:pPr>
            <w:r>
              <w:rPr>
                <w:sz w:val="22"/>
              </w:rPr>
              <w:t>ogólna)</w:t>
            </w:r>
          </w:p>
        </w:tc>
      </w:tr>
    </w:tbl>
    <w:p>
      <w:pPr>
        <w:pStyle w:val="BodyText"/>
        <w:spacing w:before="6"/>
        <w:ind w:right="1113"/>
        <w:jc w:val="right"/>
      </w:pPr>
      <w:r>
        <w:rPr/>
        <w:t>„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tabs>
          <w:tab w:pos="9310" w:val="left" w:leader="none"/>
        </w:tabs>
        <w:ind w:left="195"/>
        <w:jc w:val="both"/>
      </w:pPr>
      <w:r>
        <w:rPr/>
        <w:t>„</w:t>
        <w:tab/>
        <w:t>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</w:tabs>
        <w:spacing w:line="360" w:lineRule="auto" w:before="138" w:after="0"/>
        <w:ind w:left="1122" w:right="1092" w:hanging="360"/>
        <w:jc w:val="both"/>
        <w:rPr>
          <w:sz w:val="24"/>
        </w:rPr>
      </w:pPr>
      <w:r>
        <w:rPr/>
        <w:tab/>
      </w:r>
      <w:r>
        <w:rPr>
          <w:spacing w:val="-4"/>
          <w:sz w:val="24"/>
        </w:rPr>
        <w:t>dodaje </w:t>
      </w:r>
      <w:r>
        <w:rPr>
          <w:spacing w:val="-3"/>
          <w:sz w:val="24"/>
        </w:rPr>
        <w:t>się </w:t>
      </w:r>
      <w:r>
        <w:rPr>
          <w:spacing w:val="-4"/>
          <w:sz w:val="24"/>
        </w:rPr>
        <w:t>załączniki </w:t>
      </w:r>
      <w:r>
        <w:rPr>
          <w:sz w:val="24"/>
        </w:rPr>
        <w:t>nr 16 i 17 do </w:t>
      </w:r>
      <w:r>
        <w:rPr>
          <w:spacing w:val="-4"/>
          <w:sz w:val="24"/>
        </w:rPr>
        <w:t>zarządzenia </w:t>
      </w:r>
      <w:r>
        <w:rPr>
          <w:sz w:val="24"/>
        </w:rPr>
        <w:t>w </w:t>
      </w:r>
      <w:r>
        <w:rPr>
          <w:spacing w:val="-4"/>
          <w:sz w:val="24"/>
        </w:rPr>
        <w:t>brzmieniu </w:t>
      </w:r>
      <w:r>
        <w:rPr>
          <w:spacing w:val="-6"/>
          <w:sz w:val="24"/>
        </w:rPr>
        <w:t>określonym </w:t>
      </w:r>
      <w:r>
        <w:rPr>
          <w:spacing w:val="-4"/>
          <w:sz w:val="24"/>
        </w:rPr>
        <w:t>odpowiednio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załącznikach</w:t>
      </w:r>
      <w:r>
        <w:rPr>
          <w:spacing w:val="-8"/>
          <w:sz w:val="24"/>
        </w:rPr>
        <w:t> </w:t>
      </w:r>
      <w:r>
        <w:rPr>
          <w:sz w:val="24"/>
        </w:rPr>
        <w:t>nr</w:t>
      </w:r>
      <w:r>
        <w:rPr>
          <w:spacing w:val="-8"/>
          <w:sz w:val="24"/>
        </w:rPr>
        <w:t> </w:t>
      </w:r>
      <w:r>
        <w:rPr>
          <w:sz w:val="24"/>
        </w:rPr>
        <w:t>2</w:t>
      </w:r>
      <w:r>
        <w:rPr>
          <w:spacing w:val="-7"/>
          <w:sz w:val="24"/>
        </w:rPr>
        <w:t> </w:t>
      </w:r>
      <w:r>
        <w:rPr>
          <w:sz w:val="24"/>
        </w:rPr>
        <w:t>i</w:t>
      </w:r>
      <w:r>
        <w:rPr>
          <w:spacing w:val="-8"/>
          <w:sz w:val="24"/>
        </w:rPr>
        <w:t> </w:t>
      </w:r>
      <w:r>
        <w:rPr>
          <w:sz w:val="24"/>
        </w:rPr>
        <w:t>3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niniejszego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zarządzenia.</w:t>
      </w:r>
    </w:p>
    <w:p>
      <w:pPr>
        <w:pStyle w:val="BodyText"/>
        <w:spacing w:line="360" w:lineRule="auto"/>
        <w:ind w:left="195" w:right="1096" w:firstLine="709"/>
        <w:jc w:val="both"/>
      </w:pPr>
      <w:r>
        <w:rPr>
          <w:b/>
        </w:rPr>
        <w:t>§ 2. </w:t>
      </w:r>
      <w:r>
        <w:rPr/>
        <w:t>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>
      <w:pPr>
        <w:pStyle w:val="BodyText"/>
        <w:spacing w:line="360" w:lineRule="auto"/>
        <w:ind w:left="196" w:right="1096" w:firstLine="708"/>
        <w:jc w:val="both"/>
      </w:pPr>
      <w:r>
        <w:rPr>
          <w:b/>
        </w:rPr>
        <w:t>§ 3. </w:t>
      </w:r>
      <w:r>
        <w:rPr/>
        <w:t>1. Zobowiązuje się dyrektorów oddziałów wojewódzkich Narodowego Funduszu Zdrowia do  wprowadzenia  niezbędnych  zmian  wynikających  z  wejścia  w życie  przepisów  niniejszego  zarządzenia,  do   postanowień   umów   zawartych ze świadczeniodawcami.</w:t>
      </w:r>
    </w:p>
    <w:p>
      <w:pPr>
        <w:pStyle w:val="BodyText"/>
        <w:ind w:left="904"/>
        <w:jc w:val="both"/>
      </w:pPr>
      <w:r>
        <w:rPr/>
        <w:t>2. Przepis ust. 1 stosuje się również do umów zawartych ze świadczeniodawcami</w:t>
      </w:r>
    </w:p>
    <w:p>
      <w:pPr>
        <w:pStyle w:val="BodyText"/>
        <w:spacing w:before="138"/>
        <w:ind w:left="196"/>
        <w:jc w:val="both"/>
      </w:pPr>
      <w:r>
        <w:rPr/>
        <w:t>po zakończeniu postępowań, o których mowa w § 2.</w:t>
      </w:r>
    </w:p>
    <w:p>
      <w:pPr>
        <w:pStyle w:val="BodyText"/>
        <w:spacing w:before="138"/>
        <w:ind w:left="904"/>
      </w:pPr>
      <w:r>
        <w:rPr>
          <w:b/>
        </w:rPr>
        <w:t>§ 4. </w:t>
      </w:r>
      <w:r>
        <w:rPr/>
        <w:t>Zarządzenie wchodzi w życie z dniem 1 lutego 2021 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360" w:lineRule="auto"/>
        <w:ind w:left="4975" w:firstLine="1828"/>
        <w:jc w:val="left"/>
      </w:pPr>
      <w:r>
        <w:rPr/>
        <w:t>PREZES NARODOWEGO FUNDUSZU ZDROWIA</w:t>
      </w:r>
    </w:p>
    <w:p>
      <w:pPr>
        <w:pStyle w:val="BodyText"/>
        <w:ind w:left="5249" w:right="1184"/>
        <w:jc w:val="center"/>
      </w:pPr>
      <w:r>
        <w:rPr/>
        <w:t>Bernard Waśko</w:t>
      </w:r>
    </w:p>
    <w:p>
      <w:pPr>
        <w:pStyle w:val="BodyText"/>
        <w:spacing w:before="138"/>
        <w:ind w:left="5251" w:right="1184"/>
        <w:jc w:val="center"/>
      </w:pPr>
      <w:r>
        <w:rPr/>
        <w:t>Z up. p.o. PREZESA 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spacing w:before="0"/>
        <w:ind w:left="0" w:right="109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sectPr>
      <w:pgSz w:w="11900" w:h="16840"/>
      <w:pgMar w:top="1260" w:bottom="280" w:left="108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-"/>
      <w:lvlJc w:val="left"/>
      <w:pPr>
        <w:ind w:left="70" w:hanging="123"/>
      </w:pPr>
      <w:rPr>
        <w:rFonts w:hint="default" w:ascii="Arial" w:hAnsi="Arial" w:eastAsia="Arial" w:cs="Arial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44" w:hanging="12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409" w:hanging="12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573" w:hanging="12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738" w:hanging="12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903" w:hanging="12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067" w:hanging="12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232" w:hanging="12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396" w:hanging="123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70" w:hanging="123"/>
      </w:pPr>
      <w:rPr>
        <w:rFonts w:hint="default" w:ascii="Arial" w:hAnsi="Arial" w:eastAsia="Arial" w:cs="Arial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44" w:hanging="12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409" w:hanging="12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573" w:hanging="12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738" w:hanging="12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903" w:hanging="12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067" w:hanging="12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232" w:hanging="12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396" w:hanging="123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70" w:hanging="123"/>
      </w:pPr>
      <w:rPr>
        <w:rFonts w:hint="default" w:ascii="Arial" w:hAnsi="Arial" w:eastAsia="Arial" w:cs="Arial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44" w:hanging="12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409" w:hanging="12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573" w:hanging="12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738" w:hanging="12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903" w:hanging="12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067" w:hanging="12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232" w:hanging="12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396" w:hanging="123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70" w:hanging="123"/>
      </w:pPr>
      <w:rPr>
        <w:rFonts w:hint="default" w:ascii="Arial" w:hAnsi="Arial" w:eastAsia="Arial" w:cs="Arial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44" w:hanging="12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409" w:hanging="12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573" w:hanging="12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738" w:hanging="12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903" w:hanging="12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067" w:hanging="12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232" w:hanging="12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396" w:hanging="123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70" w:hanging="123"/>
      </w:pPr>
      <w:rPr>
        <w:rFonts w:hint="default" w:ascii="Arial" w:hAnsi="Arial" w:eastAsia="Arial" w:cs="Arial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44" w:hanging="12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409" w:hanging="12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573" w:hanging="12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738" w:hanging="12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903" w:hanging="12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067" w:hanging="12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232" w:hanging="12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396" w:hanging="123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23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16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97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35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73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1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348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38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424" w:hanging="360"/>
      </w:pPr>
      <w:rPr>
        <w:rFonts w:hint="default"/>
        <w:lang w:val="pl-PL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565" w:right="107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23" w:hanging="361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nfz.gov.pl/zarzadzenia-prezesa/zarzadzenia-prezesa-nfz/zarzadzenie-nr-792016dsoz%2C6521.html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2020-12-31T12:20:31Z</dcterms:created>
  <dcterms:modified xsi:type="dcterms:W3CDTF">2020-12-31T12:20:31Z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2020-12-31T00:00:00Z</vt:filetime>
  </property>
</Properties>
</file>