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46" w:rsidRPr="007004C0" w:rsidRDefault="00BC2A61" w:rsidP="00224F4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ZARZĄDZENIE NR </w:t>
      </w:r>
      <w:r w:rsidR="008C221B">
        <w:rPr>
          <w:rFonts w:ascii="Arial" w:hAnsi="Arial" w:cs="Arial"/>
          <w:b/>
          <w:bCs/>
        </w:rPr>
        <w:t>96</w:t>
      </w:r>
      <w:r w:rsidR="00804085">
        <w:rPr>
          <w:rFonts w:ascii="Arial" w:hAnsi="Arial" w:cs="Arial"/>
          <w:b/>
          <w:bCs/>
        </w:rPr>
        <w:t>/2019</w:t>
      </w:r>
      <w:r w:rsidR="00224F46" w:rsidRPr="007004C0">
        <w:rPr>
          <w:rFonts w:ascii="Arial" w:hAnsi="Arial" w:cs="Arial"/>
          <w:b/>
          <w:bCs/>
        </w:rPr>
        <w:t>/DSM</w:t>
      </w:r>
    </w:p>
    <w:p w:rsidR="00B91CAE" w:rsidRDefault="00224F46" w:rsidP="00224F4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</w:rPr>
      </w:pPr>
      <w:r w:rsidRPr="007004C0">
        <w:rPr>
          <w:rFonts w:ascii="Arial" w:hAnsi="Arial" w:cs="Arial"/>
          <w:b/>
          <w:bCs/>
        </w:rPr>
        <w:t xml:space="preserve">PREZESA </w:t>
      </w:r>
    </w:p>
    <w:p w:rsidR="00224F46" w:rsidRPr="007004C0" w:rsidRDefault="00224F46" w:rsidP="00224F4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</w:rPr>
      </w:pPr>
      <w:r w:rsidRPr="007004C0">
        <w:rPr>
          <w:rFonts w:ascii="Arial" w:hAnsi="Arial" w:cs="Arial"/>
          <w:b/>
          <w:bCs/>
        </w:rPr>
        <w:t xml:space="preserve">NARODOWEGO FUNDUSZU ZDROWIA </w:t>
      </w:r>
      <w:r w:rsidRPr="007004C0">
        <w:rPr>
          <w:rFonts w:ascii="Arial" w:hAnsi="Arial" w:cs="Arial"/>
        </w:rPr>
        <w:t xml:space="preserve"> </w:t>
      </w:r>
    </w:p>
    <w:p w:rsidR="00B91CAE" w:rsidRDefault="00B91CAE" w:rsidP="00224F46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Cs/>
        </w:rPr>
      </w:pPr>
    </w:p>
    <w:p w:rsidR="00224F46" w:rsidRPr="007004C0" w:rsidRDefault="00804085" w:rsidP="00224F46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z dnia </w:t>
      </w:r>
      <w:r w:rsidR="008C221B">
        <w:rPr>
          <w:rFonts w:ascii="Arial" w:hAnsi="Arial" w:cs="Arial"/>
          <w:bCs/>
        </w:rPr>
        <w:t xml:space="preserve">25 lipca </w:t>
      </w:r>
      <w:r>
        <w:rPr>
          <w:rFonts w:ascii="Arial" w:hAnsi="Arial" w:cs="Arial"/>
          <w:bCs/>
        </w:rPr>
        <w:t>2019</w:t>
      </w:r>
      <w:r w:rsidR="00224F46" w:rsidRPr="007004C0">
        <w:rPr>
          <w:rFonts w:ascii="Arial" w:hAnsi="Arial" w:cs="Arial"/>
          <w:bCs/>
        </w:rPr>
        <w:t xml:space="preserve"> r. </w:t>
      </w:r>
    </w:p>
    <w:p w:rsidR="00D93091" w:rsidRDefault="00D93091" w:rsidP="008C48D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:rsidR="00224F46" w:rsidRDefault="001A2B90" w:rsidP="008C48D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zmieniające</w:t>
      </w:r>
      <w:r w:rsidR="009A39E8">
        <w:rPr>
          <w:rFonts w:ascii="Arial" w:hAnsi="Arial" w:cs="Arial"/>
          <w:b/>
          <w:bCs/>
        </w:rPr>
        <w:t xml:space="preserve"> zarządzenie </w:t>
      </w:r>
      <w:r w:rsidR="00224F46" w:rsidRPr="007004C0">
        <w:rPr>
          <w:rFonts w:ascii="Arial" w:hAnsi="Arial" w:cs="Arial"/>
          <w:b/>
          <w:bCs/>
        </w:rPr>
        <w:t>w sprawie</w:t>
      </w:r>
      <w:r w:rsidR="0058163A">
        <w:rPr>
          <w:rFonts w:ascii="Arial" w:hAnsi="Arial" w:cs="Arial"/>
          <w:b/>
          <w:bCs/>
        </w:rPr>
        <w:t xml:space="preserve"> </w:t>
      </w:r>
      <w:r w:rsidR="00E84D33">
        <w:rPr>
          <w:rFonts w:ascii="Arial" w:hAnsi="Arial" w:cs="Arial"/>
          <w:b/>
          <w:bCs/>
        </w:rPr>
        <w:t>określenia</w:t>
      </w:r>
      <w:r w:rsidR="0058163A">
        <w:rPr>
          <w:rFonts w:ascii="Arial" w:hAnsi="Arial" w:cs="Arial"/>
          <w:b/>
          <w:bCs/>
        </w:rPr>
        <w:t xml:space="preserve"> warunków</w:t>
      </w:r>
      <w:r w:rsidR="00224F46" w:rsidRPr="007004C0">
        <w:rPr>
          <w:rFonts w:ascii="Arial" w:hAnsi="Arial" w:cs="Arial"/>
          <w:b/>
          <w:bCs/>
        </w:rPr>
        <w:t xml:space="preserve"> zawiera</w:t>
      </w:r>
      <w:r w:rsidR="00E02A6D">
        <w:rPr>
          <w:rFonts w:ascii="Arial" w:hAnsi="Arial" w:cs="Arial"/>
          <w:b/>
          <w:bCs/>
        </w:rPr>
        <w:t>nia i realizacji umów</w:t>
      </w:r>
      <w:r w:rsidR="00BC2A61">
        <w:rPr>
          <w:rFonts w:ascii="Arial" w:hAnsi="Arial" w:cs="Arial"/>
          <w:b/>
          <w:bCs/>
        </w:rPr>
        <w:t xml:space="preserve"> o udzielanie świadczeń opieki zdrowotnej</w:t>
      </w:r>
      <w:r w:rsidR="00534F90" w:rsidRPr="007004C0">
        <w:rPr>
          <w:rFonts w:ascii="Arial" w:hAnsi="Arial" w:cs="Arial"/>
          <w:b/>
          <w:bCs/>
        </w:rPr>
        <w:t xml:space="preserve"> w rodzaju </w:t>
      </w:r>
      <w:r w:rsidR="00E02A6D">
        <w:rPr>
          <w:rFonts w:ascii="Arial" w:hAnsi="Arial" w:cs="Arial"/>
          <w:b/>
          <w:bCs/>
        </w:rPr>
        <w:t xml:space="preserve">leczenie szpitalne </w:t>
      </w:r>
      <w:r w:rsidR="004D5ABD">
        <w:rPr>
          <w:rFonts w:ascii="Arial" w:hAnsi="Arial" w:cs="Arial"/>
          <w:b/>
          <w:bCs/>
        </w:rPr>
        <w:br/>
      </w:r>
      <w:r w:rsidR="00E02A6D">
        <w:rPr>
          <w:rFonts w:ascii="Arial" w:hAnsi="Arial" w:cs="Arial"/>
          <w:b/>
          <w:bCs/>
        </w:rPr>
        <w:t>w zakresie: świadczenia w szpitalnym oddziale ratunkowym oraz w zakresie: świadczenia w izbie przyjęć</w:t>
      </w:r>
    </w:p>
    <w:p w:rsidR="001139EA" w:rsidRDefault="001139EA" w:rsidP="008C48D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:rsidR="0018743D" w:rsidRPr="007004C0" w:rsidRDefault="0018743D" w:rsidP="008C48D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:rsidR="00224F46" w:rsidRDefault="00224F46" w:rsidP="008C48D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004C0">
        <w:rPr>
          <w:rFonts w:ascii="Arial" w:hAnsi="Arial" w:cs="Arial"/>
        </w:rPr>
        <w:t xml:space="preserve">Na podstawie art. 102 ust. 5 pkt 21 i 25 oraz art. 146 ust. 1 ustawy </w:t>
      </w:r>
      <w:r w:rsidR="001139EA">
        <w:rPr>
          <w:rFonts w:ascii="Arial" w:hAnsi="Arial" w:cs="Arial"/>
        </w:rPr>
        <w:br/>
      </w:r>
      <w:r w:rsidRPr="007004C0">
        <w:rPr>
          <w:rFonts w:ascii="Arial" w:hAnsi="Arial" w:cs="Arial"/>
        </w:rPr>
        <w:t xml:space="preserve">z dnia 27 sierpnia 2004 r. o świadczeniach opieki zdrowotnej finansowanych </w:t>
      </w:r>
      <w:r w:rsidR="001139EA">
        <w:rPr>
          <w:rFonts w:ascii="Arial" w:hAnsi="Arial" w:cs="Arial"/>
        </w:rPr>
        <w:br/>
      </w:r>
      <w:r w:rsidRPr="007004C0">
        <w:rPr>
          <w:rFonts w:ascii="Arial" w:hAnsi="Arial" w:cs="Arial"/>
        </w:rPr>
        <w:t>ze środkó</w:t>
      </w:r>
      <w:r w:rsidR="00A26E18">
        <w:rPr>
          <w:rFonts w:ascii="Arial" w:hAnsi="Arial" w:cs="Arial"/>
        </w:rPr>
        <w:t>w publicznych (Dz. U. z</w:t>
      </w:r>
      <w:r w:rsidR="00BC2A61">
        <w:rPr>
          <w:rFonts w:ascii="Arial" w:hAnsi="Arial" w:cs="Arial"/>
        </w:rPr>
        <w:t xml:space="preserve"> 2018</w:t>
      </w:r>
      <w:r w:rsidR="00CB4D28">
        <w:rPr>
          <w:rFonts w:ascii="Arial" w:hAnsi="Arial" w:cs="Arial"/>
        </w:rPr>
        <w:t xml:space="preserve"> r.</w:t>
      </w:r>
      <w:r w:rsidR="006D3162">
        <w:rPr>
          <w:rFonts w:ascii="Arial" w:hAnsi="Arial" w:cs="Arial"/>
        </w:rPr>
        <w:t xml:space="preserve"> </w:t>
      </w:r>
      <w:r w:rsidRPr="007004C0">
        <w:rPr>
          <w:rFonts w:ascii="Arial" w:hAnsi="Arial" w:cs="Arial"/>
        </w:rPr>
        <w:t xml:space="preserve">poz. </w:t>
      </w:r>
      <w:r w:rsidR="00BC2A61">
        <w:rPr>
          <w:rFonts w:ascii="Arial" w:hAnsi="Arial" w:cs="Arial"/>
        </w:rPr>
        <w:t>1510</w:t>
      </w:r>
      <w:r w:rsidR="00CB4D28" w:rsidRPr="00E37ADA">
        <w:rPr>
          <w:rFonts w:ascii="Arial" w:hAnsi="Arial" w:cs="Arial"/>
        </w:rPr>
        <w:t xml:space="preserve">, </w:t>
      </w:r>
      <w:r w:rsidR="00E37ADA" w:rsidRPr="00E37ADA">
        <w:rPr>
          <w:rFonts w:ascii="Arial" w:hAnsi="Arial" w:cs="Arial"/>
          <w:bCs/>
        </w:rPr>
        <w:t xml:space="preserve">z </w:t>
      </w:r>
      <w:proofErr w:type="spellStart"/>
      <w:r w:rsidR="00E37ADA" w:rsidRPr="00E37ADA">
        <w:rPr>
          <w:rFonts w:ascii="Arial" w:hAnsi="Arial" w:cs="Arial"/>
          <w:bCs/>
        </w:rPr>
        <w:t>późn</w:t>
      </w:r>
      <w:proofErr w:type="spellEnd"/>
      <w:r w:rsidR="00E37ADA" w:rsidRPr="00E37ADA">
        <w:rPr>
          <w:rFonts w:ascii="Arial" w:hAnsi="Arial" w:cs="Arial"/>
          <w:bCs/>
        </w:rPr>
        <w:t>. zm.</w:t>
      </w:r>
      <w:r w:rsidR="00E37ADA" w:rsidRPr="00E37ADA">
        <w:rPr>
          <w:rFonts w:ascii="Arial" w:hAnsi="Arial" w:cs="Arial"/>
          <w:bCs/>
          <w:vertAlign w:val="superscript"/>
        </w:rPr>
        <w:footnoteReference w:customMarkFollows="1" w:id="1"/>
        <w:t>1)</w:t>
      </w:r>
      <w:r w:rsidR="00E37ADA" w:rsidRPr="00E37ADA">
        <w:rPr>
          <w:rFonts w:ascii="Arial" w:hAnsi="Arial" w:cs="Arial"/>
          <w:bCs/>
        </w:rPr>
        <w:t xml:space="preserve">) </w:t>
      </w:r>
      <w:r w:rsidRPr="00E37ADA">
        <w:rPr>
          <w:rFonts w:ascii="Arial" w:hAnsi="Arial" w:cs="Arial"/>
        </w:rPr>
        <w:t>zarządza</w:t>
      </w:r>
      <w:r w:rsidRPr="007004C0">
        <w:rPr>
          <w:rFonts w:ascii="Arial" w:hAnsi="Arial" w:cs="Arial"/>
        </w:rPr>
        <w:t xml:space="preserve"> się, </w:t>
      </w:r>
      <w:r w:rsidR="00CB4D28">
        <w:rPr>
          <w:rFonts w:ascii="Arial" w:hAnsi="Arial" w:cs="Arial"/>
        </w:rPr>
        <w:t xml:space="preserve"> </w:t>
      </w:r>
      <w:r w:rsidRPr="007004C0">
        <w:rPr>
          <w:rFonts w:ascii="Arial" w:hAnsi="Arial" w:cs="Arial"/>
        </w:rPr>
        <w:t>co</w:t>
      </w:r>
      <w:r w:rsidR="00CB4D28">
        <w:rPr>
          <w:rFonts w:ascii="Arial" w:hAnsi="Arial" w:cs="Arial"/>
        </w:rPr>
        <w:t> </w:t>
      </w:r>
      <w:r w:rsidRPr="007004C0">
        <w:rPr>
          <w:rFonts w:ascii="Arial" w:hAnsi="Arial" w:cs="Arial"/>
        </w:rPr>
        <w:t xml:space="preserve">następuje: </w:t>
      </w:r>
    </w:p>
    <w:p w:rsidR="0018743D" w:rsidRDefault="0018743D" w:rsidP="008C48D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</w:p>
    <w:p w:rsidR="00530317" w:rsidRPr="00943320" w:rsidRDefault="00530317" w:rsidP="008C48D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</w:p>
    <w:p w:rsidR="009A39E8" w:rsidRDefault="001A2B90" w:rsidP="009A39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943320">
        <w:rPr>
          <w:rFonts w:ascii="Arial" w:hAnsi="Arial" w:cs="Arial"/>
          <w:b/>
        </w:rPr>
        <w:t>§ 1.</w:t>
      </w:r>
      <w:r w:rsidRPr="00943320">
        <w:rPr>
          <w:rFonts w:ascii="Arial" w:hAnsi="Arial" w:cs="Arial"/>
        </w:rPr>
        <w:t xml:space="preserve"> </w:t>
      </w:r>
      <w:r w:rsidR="004D5ABD" w:rsidRPr="004D5ABD">
        <w:rPr>
          <w:rFonts w:ascii="Arial" w:hAnsi="Arial" w:cs="Arial"/>
        </w:rPr>
        <w:t xml:space="preserve">W zarządzeniu </w:t>
      </w:r>
      <w:hyperlink r:id="rId9" w:history="1">
        <w:r w:rsidR="004D5ABD" w:rsidRPr="004D5ABD">
          <w:rPr>
            <w:rStyle w:val="Hipercze"/>
            <w:rFonts w:ascii="Arial" w:hAnsi="Arial" w:cs="Arial"/>
            <w:color w:val="auto"/>
            <w:u w:val="none"/>
          </w:rPr>
          <w:t>Nr 16/2018/DSM</w:t>
        </w:r>
      </w:hyperlink>
      <w:r w:rsidR="004D5ABD" w:rsidRPr="004D5ABD">
        <w:rPr>
          <w:rFonts w:ascii="Arial" w:hAnsi="Arial" w:cs="Arial"/>
        </w:rPr>
        <w:t xml:space="preserve"> Prezesa Narodowego Funduszu Zdrowia z dnia 28 lutego 2018 r. w sprawie określenia warunków zawierania i realizacji umów o udzielanie świadczeń opieki zdrowotnej w rodzaju leczenie szpitalne w zakresie: świadczenia w szpitalnym oddziale ratunkowym oraz w zakresie: świadczenia w izbie przyjęć, zmienionym zarządzeniem Nr 81/2018/DSOZ Prezesa Narodowego Funduszu Zdrowia z dnia 14 sierpnia 2018 r.</w:t>
      </w:r>
      <w:r w:rsidR="004D5ABD">
        <w:rPr>
          <w:rFonts w:ascii="Arial" w:hAnsi="Arial" w:cs="Arial"/>
        </w:rPr>
        <w:t xml:space="preserve"> oraz zarządzeniem Nr 72/2019/DSM Prezesa Narodowego Funduszu Zdrowia z dnia 19 czerwca 2019 r.</w:t>
      </w:r>
      <w:r w:rsidR="00F85647">
        <w:rPr>
          <w:rFonts w:ascii="Arial" w:hAnsi="Arial" w:cs="Arial"/>
        </w:rPr>
        <w:t>,</w:t>
      </w:r>
      <w:r w:rsidR="004D5ABD">
        <w:rPr>
          <w:rFonts w:ascii="Arial" w:hAnsi="Arial" w:cs="Arial"/>
        </w:rPr>
        <w:t xml:space="preserve"> w § 11:</w:t>
      </w:r>
    </w:p>
    <w:p w:rsidR="0018743D" w:rsidRDefault="0018743D" w:rsidP="009A39E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</w:p>
    <w:p w:rsidR="00336025" w:rsidRDefault="00336025" w:rsidP="0033602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ust. 6 otrzymuje brzmienie:</w:t>
      </w:r>
    </w:p>
    <w:p w:rsidR="00336025" w:rsidRPr="007004C0" w:rsidRDefault="00336025" w:rsidP="00336025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652B8F">
        <w:rPr>
          <w:rFonts w:ascii="Arial" w:hAnsi="Arial" w:cs="Arial"/>
        </w:rPr>
        <w:t xml:space="preserve">6. </w:t>
      </w:r>
      <w:r w:rsidRPr="0081517A">
        <w:rPr>
          <w:rFonts w:ascii="Arial" w:hAnsi="Arial" w:cs="Arial"/>
        </w:rPr>
        <w:t xml:space="preserve">Składowa ryczałtu za funkcję określana jest według poniższego wzoru, </w:t>
      </w:r>
      <w:r w:rsidRPr="0081517A">
        <w:rPr>
          <w:rFonts w:ascii="Arial" w:hAnsi="Arial" w:cs="Arial"/>
        </w:rPr>
        <w:br/>
        <w:t xml:space="preserve">z uwzględnieniem liczby pacjentów zakwalifikowanych do odpowiedniej kategorii </w:t>
      </w:r>
      <w:r w:rsidRPr="0081517A">
        <w:rPr>
          <w:rFonts w:ascii="Arial" w:hAnsi="Arial" w:cs="Arial"/>
        </w:rPr>
        <w:lastRenderedPageBreak/>
        <w:t xml:space="preserve">stanu zdrowia pacjenta, na podstawie wykonanych procedur medycznych określonych w </w:t>
      </w:r>
      <w:r w:rsidRPr="0081517A">
        <w:rPr>
          <w:rFonts w:ascii="Arial" w:hAnsi="Arial" w:cs="Arial"/>
          <w:b/>
        </w:rPr>
        <w:t xml:space="preserve">załączniku nr 3 </w:t>
      </w:r>
      <w:r w:rsidRPr="0081517A">
        <w:rPr>
          <w:rFonts w:ascii="Arial" w:hAnsi="Arial" w:cs="Arial"/>
        </w:rPr>
        <w:t>do zarządzenia</w:t>
      </w:r>
      <w:r w:rsidRPr="007004C0">
        <w:rPr>
          <w:rFonts w:ascii="Arial" w:hAnsi="Arial" w:cs="Arial"/>
        </w:rPr>
        <w:t xml:space="preserve"> oraz </w:t>
      </w:r>
      <w:r w:rsidRPr="00CE6A12">
        <w:rPr>
          <w:rFonts w:ascii="Arial" w:hAnsi="Arial" w:cs="Arial"/>
        </w:rPr>
        <w:t>wag</w:t>
      </w:r>
      <w:r w:rsidRPr="005B0E9B">
        <w:rPr>
          <w:rFonts w:ascii="Arial" w:hAnsi="Arial" w:cs="Arial"/>
          <w:color w:val="FF0000"/>
        </w:rPr>
        <w:t xml:space="preserve"> </w:t>
      </w:r>
      <w:r w:rsidRPr="005B0E9B">
        <w:rPr>
          <w:rFonts w:ascii="Arial" w:hAnsi="Arial" w:cs="Arial"/>
        </w:rPr>
        <w:t>poszczególnych kategorii</w:t>
      </w:r>
      <w:r w:rsidRPr="007004C0">
        <w:rPr>
          <w:rFonts w:ascii="Arial" w:hAnsi="Arial" w:cs="Arial"/>
        </w:rPr>
        <w:t xml:space="preserve">: </w:t>
      </w:r>
    </w:p>
    <w:p w:rsidR="00336025" w:rsidRPr="00B01661" w:rsidRDefault="00336025" w:rsidP="00336025">
      <w:pPr>
        <w:spacing w:line="360" w:lineRule="auto"/>
        <w:ind w:left="709"/>
        <w:jc w:val="both"/>
        <w:rPr>
          <w:rFonts w:ascii="Arial" w:hAnsi="Arial" w:cs="Arial"/>
        </w:rPr>
      </w:pPr>
    </w:p>
    <w:p w:rsidR="00336025" w:rsidRPr="00B01661" w:rsidRDefault="00336025" w:rsidP="00336025">
      <w:pPr>
        <w:spacing w:line="360" w:lineRule="auto"/>
        <w:ind w:left="2836" w:firstLine="709"/>
        <w:jc w:val="both"/>
        <w:rPr>
          <w:rFonts w:ascii="Arial" w:hAnsi="Arial" w:cs="Arial"/>
        </w:rPr>
      </w:pPr>
      <w:r w:rsidRPr="00B01661">
        <w:rPr>
          <w:rFonts w:ascii="Arial" w:hAnsi="Arial" w:cs="Arial"/>
        </w:rPr>
        <w:t xml:space="preserve"> </w:t>
      </w:r>
      <w:r w:rsidRPr="007004C0">
        <w:rPr>
          <w:rFonts w:ascii="Arial" w:hAnsi="Arial" w:cs="Arial"/>
          <w:noProof/>
        </w:rPr>
        <w:drawing>
          <wp:inline distT="0" distB="0" distL="0" distR="0" wp14:anchorId="491AB3C4" wp14:editId="206F3435">
            <wp:extent cx="1266825" cy="4953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6025" w:rsidRPr="00B01661" w:rsidRDefault="00336025" w:rsidP="00336025">
      <w:pPr>
        <w:spacing w:line="360" w:lineRule="auto"/>
        <w:ind w:left="709"/>
        <w:jc w:val="both"/>
        <w:rPr>
          <w:rFonts w:ascii="Arial" w:hAnsi="Arial" w:cs="Arial"/>
        </w:rPr>
      </w:pPr>
      <w:r w:rsidRPr="00B01661">
        <w:rPr>
          <w:rFonts w:ascii="Arial" w:hAnsi="Arial" w:cs="Arial"/>
        </w:rPr>
        <w:t>gdzie:</w:t>
      </w:r>
    </w:p>
    <w:p w:rsidR="00336025" w:rsidRPr="00B01661" w:rsidRDefault="00336025" w:rsidP="00336025">
      <w:pPr>
        <w:spacing w:line="360" w:lineRule="auto"/>
        <w:ind w:left="709"/>
        <w:jc w:val="both"/>
        <w:rPr>
          <w:rFonts w:ascii="Arial" w:hAnsi="Arial" w:cs="Arial"/>
        </w:rPr>
      </w:pPr>
      <w:r w:rsidRPr="00B01661">
        <w:rPr>
          <w:rFonts w:ascii="Arial" w:hAnsi="Arial" w:cs="Arial"/>
        </w:rPr>
        <w:t xml:space="preserve">a – </w:t>
      </w:r>
      <w:r w:rsidRPr="00E837D2">
        <w:rPr>
          <w:rFonts w:ascii="Arial" w:hAnsi="Arial" w:cs="Arial"/>
        </w:rPr>
        <w:t xml:space="preserve">stawka za punkt </w:t>
      </w:r>
      <w:r w:rsidRPr="00B01661">
        <w:rPr>
          <w:rFonts w:ascii="Arial" w:hAnsi="Arial" w:cs="Arial"/>
        </w:rPr>
        <w:t>(w SOR pr</w:t>
      </w:r>
      <w:r>
        <w:rPr>
          <w:rFonts w:ascii="Arial" w:hAnsi="Arial" w:cs="Arial"/>
        </w:rPr>
        <w:t xml:space="preserve">zyjmuje się </w:t>
      </w:r>
      <w:r w:rsidRPr="00CA27B9">
        <w:rPr>
          <w:rFonts w:ascii="Arial" w:hAnsi="Arial" w:cs="Arial"/>
        </w:rPr>
        <w:t xml:space="preserve">wartość 1 zł),  </w:t>
      </w:r>
    </w:p>
    <w:p w:rsidR="00336025" w:rsidRPr="00B01661" w:rsidRDefault="00336025" w:rsidP="00336025">
      <w:pPr>
        <w:spacing w:line="360" w:lineRule="auto"/>
        <w:ind w:left="1134" w:hanging="425"/>
        <w:jc w:val="both"/>
        <w:rPr>
          <w:rFonts w:ascii="Arial" w:hAnsi="Arial" w:cs="Arial"/>
        </w:rPr>
      </w:pPr>
      <w:proofErr w:type="spellStart"/>
      <w:r w:rsidRPr="00B01661">
        <w:rPr>
          <w:rFonts w:ascii="Arial" w:hAnsi="Arial" w:cs="Arial"/>
        </w:rPr>
        <w:t>l</w:t>
      </w:r>
      <w:r w:rsidRPr="00B01661">
        <w:rPr>
          <w:rFonts w:ascii="Arial" w:hAnsi="Arial" w:cs="Arial"/>
          <w:vertAlign w:val="subscript"/>
        </w:rPr>
        <w:t>d</w:t>
      </w:r>
      <w:proofErr w:type="spellEnd"/>
      <w:r w:rsidRPr="00B01661">
        <w:rPr>
          <w:rFonts w:ascii="Arial" w:hAnsi="Arial" w:cs="Arial"/>
        </w:rPr>
        <w:t xml:space="preserve"> – liczba dni w okresie przyjętym do kalkulacji (do kalkulacji </w:t>
      </w:r>
      <w:r w:rsidR="003B2C0D">
        <w:rPr>
          <w:rFonts w:ascii="Arial" w:hAnsi="Arial" w:cs="Arial"/>
        </w:rPr>
        <w:t>przyjmuje się okres</w:t>
      </w:r>
      <w:r w:rsidRPr="00B01661">
        <w:rPr>
          <w:rFonts w:ascii="Arial" w:hAnsi="Arial" w:cs="Arial"/>
        </w:rPr>
        <w:t xml:space="preserve"> zawierając</w:t>
      </w:r>
      <w:r w:rsidR="003B2C0D">
        <w:rPr>
          <w:rFonts w:ascii="Arial" w:hAnsi="Arial" w:cs="Arial"/>
        </w:rPr>
        <w:t>y</w:t>
      </w:r>
      <w:r w:rsidRPr="00B01661">
        <w:rPr>
          <w:rFonts w:ascii="Arial" w:hAnsi="Arial" w:cs="Arial"/>
        </w:rPr>
        <w:t xml:space="preserve"> dane sprawozdawcze z pełnych 12 miesięcy, </w:t>
      </w:r>
      <w:r w:rsidR="003B2C0D">
        <w:rPr>
          <w:rFonts w:ascii="Arial" w:hAnsi="Arial" w:cs="Arial"/>
        </w:rPr>
        <w:br/>
      </w:r>
      <w:r w:rsidRPr="00B01661">
        <w:rPr>
          <w:rFonts w:ascii="Arial" w:hAnsi="Arial" w:cs="Arial"/>
        </w:rPr>
        <w:t>a w przypadku ich braku, do obliczeń przyjmuje się dane sprawozdawcze z minimum 3 kolejnych miesięcy),</w:t>
      </w:r>
    </w:p>
    <w:p w:rsidR="00336025" w:rsidRPr="00B01661" w:rsidRDefault="00336025" w:rsidP="00336025">
      <w:pPr>
        <w:spacing w:line="360" w:lineRule="auto"/>
        <w:ind w:left="1134" w:hanging="425"/>
        <w:jc w:val="both"/>
        <w:rPr>
          <w:rFonts w:ascii="Arial" w:hAnsi="Arial" w:cs="Arial"/>
        </w:rPr>
      </w:pPr>
      <w:r w:rsidRPr="00B01661">
        <w:rPr>
          <w:rFonts w:ascii="Arial" w:hAnsi="Arial" w:cs="Arial"/>
        </w:rPr>
        <w:t>P</w:t>
      </w:r>
      <w:r w:rsidRPr="00B01661">
        <w:rPr>
          <w:rFonts w:ascii="Arial" w:hAnsi="Arial" w:cs="Arial"/>
          <w:vertAlign w:val="subscript"/>
        </w:rPr>
        <w:t>i</w:t>
      </w:r>
      <w:r w:rsidRPr="00B01661">
        <w:rPr>
          <w:rFonts w:ascii="Arial" w:hAnsi="Arial" w:cs="Arial"/>
        </w:rPr>
        <w:t xml:space="preserve"> – liczba pacjentów zakwalifikowanych do odpowiedniej kategorii stanu zdrowia pacjenta. Składowa uwzględnia:</w:t>
      </w:r>
    </w:p>
    <w:p w:rsidR="00336025" w:rsidRPr="00B01661" w:rsidRDefault="00C42B25" w:rsidP="0018743D">
      <w:pPr>
        <w:widowControl w:val="0"/>
        <w:adjustRightInd w:val="0"/>
        <w:spacing w:line="360" w:lineRule="auto"/>
        <w:ind w:left="113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336025" w:rsidRPr="00B01661">
        <w:rPr>
          <w:rFonts w:ascii="Arial" w:hAnsi="Arial" w:cs="Arial"/>
        </w:rPr>
        <w:t>pacjentów zakwalifikowanych do kategorii V i VI przyjętych w trybie nagłym w wyniku przekazania przez zespół ratownictwa medycznego</w:t>
      </w:r>
      <w:r w:rsidR="00D82667">
        <w:rPr>
          <w:rFonts w:ascii="Arial" w:hAnsi="Arial" w:cs="Arial"/>
        </w:rPr>
        <w:t>;</w:t>
      </w:r>
      <w:r w:rsidR="00336025" w:rsidRPr="007004C0">
        <w:rPr>
          <w:rFonts w:ascii="Arial" w:hAnsi="Arial" w:cs="Arial"/>
        </w:rPr>
        <w:t xml:space="preserve"> </w:t>
      </w:r>
    </w:p>
    <w:p w:rsidR="00336025" w:rsidRDefault="00C42B25" w:rsidP="00C42B25">
      <w:pPr>
        <w:widowControl w:val="0"/>
        <w:adjustRightInd w:val="0"/>
        <w:spacing w:line="360" w:lineRule="auto"/>
        <w:ind w:left="113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336025" w:rsidRPr="00B01661">
        <w:rPr>
          <w:rFonts w:ascii="Arial" w:hAnsi="Arial" w:cs="Arial"/>
        </w:rPr>
        <w:t xml:space="preserve"> pacjentów, dla których świadczenie w SOR nie zakończyło się hospitalizacją w tej samej placówce</w:t>
      </w:r>
      <w:r w:rsidR="00D82667">
        <w:rPr>
          <w:rFonts w:ascii="Arial" w:hAnsi="Arial" w:cs="Arial"/>
        </w:rPr>
        <w:t>;</w:t>
      </w:r>
      <w:r w:rsidR="00336025" w:rsidRPr="003346D3">
        <w:rPr>
          <w:rFonts w:ascii="Arial" w:hAnsi="Arial" w:cs="Arial"/>
        </w:rPr>
        <w:t xml:space="preserve"> </w:t>
      </w:r>
    </w:p>
    <w:p w:rsidR="00336025" w:rsidRDefault="00336025" w:rsidP="00336025">
      <w:pPr>
        <w:widowControl w:val="0"/>
        <w:adjustRightInd w:val="0"/>
        <w:spacing w:line="360" w:lineRule="auto"/>
        <w:ind w:left="1494"/>
        <w:jc w:val="both"/>
        <w:textAlignment w:val="baseline"/>
        <w:rPr>
          <w:rFonts w:ascii="Arial" w:hAnsi="Arial" w:cs="Arial"/>
        </w:rPr>
      </w:pPr>
      <w:r w:rsidRPr="00B01661">
        <w:rPr>
          <w:rFonts w:ascii="Arial" w:hAnsi="Arial" w:cs="Arial"/>
        </w:rPr>
        <w:t>oraz</w:t>
      </w:r>
    </w:p>
    <w:p w:rsidR="00336025" w:rsidRDefault="00C42B25" w:rsidP="0018743D">
      <w:pPr>
        <w:widowControl w:val="0"/>
        <w:adjustRightInd w:val="0"/>
        <w:spacing w:line="360" w:lineRule="auto"/>
        <w:ind w:left="1134" w:hanging="70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3) </w:t>
      </w:r>
      <w:r w:rsidR="00336025" w:rsidRPr="00950244">
        <w:rPr>
          <w:rFonts w:ascii="Arial" w:hAnsi="Arial" w:cs="Arial"/>
        </w:rPr>
        <w:t>pacjentów urazowych lub pacjentów urazowych dziecięcych</w:t>
      </w:r>
      <w:r w:rsidR="00336025">
        <w:rPr>
          <w:rFonts w:ascii="Arial" w:hAnsi="Arial" w:cs="Arial"/>
        </w:rPr>
        <w:t>,</w:t>
      </w:r>
      <w:r w:rsidR="00336025" w:rsidRPr="00950244">
        <w:rPr>
          <w:rFonts w:ascii="Arial" w:hAnsi="Arial" w:cs="Arial"/>
        </w:rPr>
        <w:t xml:space="preserve"> dla których świadczenie w </w:t>
      </w:r>
      <w:r w:rsidR="00336025">
        <w:rPr>
          <w:rFonts w:ascii="Arial" w:hAnsi="Arial" w:cs="Arial"/>
        </w:rPr>
        <w:t xml:space="preserve">centrum urazowym </w:t>
      </w:r>
      <w:r w:rsidR="00336025" w:rsidRPr="00950244">
        <w:rPr>
          <w:rFonts w:ascii="Arial" w:hAnsi="Arial" w:cs="Arial"/>
        </w:rPr>
        <w:t>zakończyło się hospitalizacją w tej samej placówce</w:t>
      </w:r>
      <w:r w:rsidR="00336025">
        <w:rPr>
          <w:rFonts w:ascii="Arial" w:hAnsi="Arial" w:cs="Arial"/>
        </w:rPr>
        <w:t xml:space="preserve"> i do rozliczenia </w:t>
      </w:r>
      <w:r w:rsidR="00336025" w:rsidRPr="00950244">
        <w:rPr>
          <w:rFonts w:ascii="Arial" w:hAnsi="Arial" w:cs="Arial"/>
        </w:rPr>
        <w:t>wskazan</w:t>
      </w:r>
      <w:r w:rsidR="00336025">
        <w:rPr>
          <w:rFonts w:ascii="Arial" w:hAnsi="Arial" w:cs="Arial"/>
        </w:rPr>
        <w:t xml:space="preserve">e zostało świadczenie </w:t>
      </w:r>
      <w:r w:rsidR="0018743D">
        <w:rPr>
          <w:rFonts w:ascii="Arial" w:hAnsi="Arial" w:cs="Arial"/>
        </w:rPr>
        <w:br/>
      </w:r>
      <w:r w:rsidR="00336025">
        <w:rPr>
          <w:rFonts w:ascii="Arial" w:hAnsi="Arial" w:cs="Arial"/>
        </w:rPr>
        <w:t>z</w:t>
      </w:r>
      <w:r w:rsidR="00336025" w:rsidRPr="00950244">
        <w:rPr>
          <w:rFonts w:ascii="Arial" w:hAnsi="Arial" w:cs="Arial"/>
        </w:rPr>
        <w:t xml:space="preserve"> określonych w charakterystyce grupy T</w:t>
      </w:r>
      <w:r w:rsidR="00336025">
        <w:rPr>
          <w:rFonts w:ascii="Arial" w:hAnsi="Arial" w:cs="Arial"/>
        </w:rPr>
        <w:t xml:space="preserve"> z katalogu grup</w:t>
      </w:r>
      <w:r w:rsidR="00336025" w:rsidRPr="00950244">
        <w:rPr>
          <w:rFonts w:ascii="Arial" w:hAnsi="Arial" w:cs="Arial"/>
        </w:rPr>
        <w:t>,</w:t>
      </w:r>
    </w:p>
    <w:p w:rsidR="0018743D" w:rsidRDefault="0018743D" w:rsidP="00C03B1A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</w:p>
    <w:p w:rsidR="00336025" w:rsidRDefault="00336025" w:rsidP="00336025">
      <w:pPr>
        <w:widowControl w:val="0"/>
        <w:adjustRightInd w:val="0"/>
        <w:spacing w:line="360" w:lineRule="auto"/>
        <w:ind w:firstLine="708"/>
        <w:jc w:val="both"/>
        <w:textAlignment w:val="baseline"/>
        <w:rPr>
          <w:rFonts w:ascii="Arial" w:hAnsi="Arial" w:cs="Arial"/>
        </w:rPr>
      </w:pPr>
      <w:proofErr w:type="spellStart"/>
      <w:r w:rsidRPr="00E837D2">
        <w:rPr>
          <w:rFonts w:ascii="Arial" w:hAnsi="Arial" w:cs="Arial"/>
        </w:rPr>
        <w:t>W</w:t>
      </w:r>
      <w:r w:rsidRPr="00E837D2">
        <w:rPr>
          <w:rFonts w:ascii="Arial" w:hAnsi="Arial" w:cs="Arial"/>
          <w:vertAlign w:val="subscript"/>
        </w:rPr>
        <w:t>i</w:t>
      </w:r>
      <w:proofErr w:type="spellEnd"/>
      <w:r w:rsidRPr="00E837D2">
        <w:rPr>
          <w:rFonts w:ascii="Arial" w:hAnsi="Arial" w:cs="Arial"/>
        </w:rPr>
        <w:t xml:space="preserve"> – waga odpowiedniej kategorii, określona w poniższej tabeli:</w:t>
      </w:r>
    </w:p>
    <w:p w:rsidR="0018743D" w:rsidRPr="00B01661" w:rsidRDefault="0018743D" w:rsidP="00C03B1A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</w:rPr>
      </w:pPr>
    </w:p>
    <w:p w:rsidR="00336025" w:rsidRDefault="00336025" w:rsidP="00336025">
      <w:pPr>
        <w:spacing w:line="360" w:lineRule="auto"/>
        <w:ind w:left="709"/>
        <w:jc w:val="center"/>
        <w:rPr>
          <w:rFonts w:ascii="Arial" w:hAnsi="Arial" w:cs="Arial"/>
          <w:b/>
        </w:rPr>
      </w:pPr>
      <w:r w:rsidRPr="00B01661">
        <w:rPr>
          <w:rFonts w:ascii="Arial" w:hAnsi="Arial" w:cs="Arial"/>
          <w:b/>
        </w:rPr>
        <w:t>Kategorie stanu zdrowia pacjenta w SOR</w:t>
      </w:r>
    </w:p>
    <w:p w:rsidR="00336025" w:rsidRPr="00B01661" w:rsidRDefault="00336025" w:rsidP="00336025">
      <w:pPr>
        <w:spacing w:line="360" w:lineRule="auto"/>
        <w:ind w:left="709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tblpXSpec="center" w:tblpY="1"/>
        <w:tblOverlap w:val="never"/>
        <w:tblW w:w="45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6472"/>
        <w:gridCol w:w="803"/>
      </w:tblGrid>
      <w:tr w:rsidR="00336025" w:rsidRPr="00B01661" w:rsidTr="003A78D5">
        <w:trPr>
          <w:trHeight w:val="407"/>
        </w:trPr>
        <w:tc>
          <w:tcPr>
            <w:tcW w:w="684" w:type="pct"/>
            <w:vAlign w:val="center"/>
          </w:tcPr>
          <w:p w:rsidR="00336025" w:rsidRPr="00B01661" w:rsidRDefault="00336025" w:rsidP="003A78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/>
                <w:bCs/>
                <w:sz w:val="22"/>
                <w:szCs w:val="22"/>
              </w:rPr>
              <w:t>Kategoria</w:t>
            </w:r>
          </w:p>
        </w:tc>
        <w:tc>
          <w:tcPr>
            <w:tcW w:w="3856" w:type="pct"/>
            <w:vAlign w:val="center"/>
          </w:tcPr>
          <w:p w:rsidR="00336025" w:rsidRPr="00B01661" w:rsidRDefault="00336025" w:rsidP="003A78D5">
            <w:pPr>
              <w:tabs>
                <w:tab w:val="right" w:pos="6021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1661">
              <w:rPr>
                <w:rFonts w:ascii="Arial" w:hAnsi="Arial" w:cs="Arial"/>
                <w:b/>
                <w:bCs/>
                <w:sz w:val="22"/>
                <w:szCs w:val="22"/>
              </w:rPr>
              <w:t>Zakres świadczeń udzielanych pacjentom</w:t>
            </w:r>
          </w:p>
        </w:tc>
        <w:tc>
          <w:tcPr>
            <w:tcW w:w="460" w:type="pct"/>
            <w:vAlign w:val="center"/>
          </w:tcPr>
          <w:p w:rsidR="00336025" w:rsidRDefault="00336025" w:rsidP="003A78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trike/>
                <w:color w:val="FF0000"/>
                <w:sz w:val="22"/>
                <w:szCs w:val="22"/>
              </w:rPr>
            </w:pPr>
          </w:p>
          <w:p w:rsidR="00336025" w:rsidRPr="00875314" w:rsidRDefault="00336025" w:rsidP="003A78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5314">
              <w:rPr>
                <w:rFonts w:ascii="Arial" w:hAnsi="Arial" w:cs="Arial"/>
                <w:b/>
                <w:bCs/>
                <w:sz w:val="22"/>
                <w:szCs w:val="22"/>
              </w:rPr>
              <w:t>Waga</w:t>
            </w:r>
          </w:p>
          <w:p w:rsidR="00336025" w:rsidRPr="00902122" w:rsidRDefault="00336025" w:rsidP="003A78D5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36025" w:rsidRPr="00CA27B9" w:rsidTr="003A78D5">
        <w:trPr>
          <w:trHeight w:val="1110"/>
        </w:trPr>
        <w:tc>
          <w:tcPr>
            <w:tcW w:w="684" w:type="pct"/>
            <w:vAlign w:val="center"/>
          </w:tcPr>
          <w:p w:rsidR="00336025" w:rsidRPr="00CA27B9" w:rsidRDefault="00336025" w:rsidP="003A78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7B9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3856" w:type="pct"/>
            <w:vAlign w:val="center"/>
          </w:tcPr>
          <w:p w:rsidR="00336025" w:rsidRPr="00CA27B9" w:rsidRDefault="00336025" w:rsidP="003A78D5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A27B9">
              <w:rPr>
                <w:rFonts w:ascii="Arial" w:hAnsi="Arial" w:cs="Arial"/>
                <w:bCs/>
                <w:sz w:val="22"/>
                <w:szCs w:val="22"/>
              </w:rPr>
              <w:t>Ocena stanu pacjenta (</w:t>
            </w:r>
            <w:proofErr w:type="spellStart"/>
            <w:r w:rsidRPr="00CA27B9">
              <w:rPr>
                <w:rFonts w:ascii="Arial" w:hAnsi="Arial" w:cs="Arial"/>
                <w:bCs/>
                <w:sz w:val="22"/>
                <w:szCs w:val="22"/>
              </w:rPr>
              <w:t>triage</w:t>
            </w:r>
            <w:proofErr w:type="spellEnd"/>
            <w:r w:rsidRPr="00CA27B9">
              <w:rPr>
                <w:rFonts w:ascii="Arial" w:hAnsi="Arial" w:cs="Arial"/>
                <w:bCs/>
                <w:sz w:val="22"/>
                <w:szCs w:val="22"/>
              </w:rPr>
              <w:t>), podstawowa diagnostyka (badania laboratoryjne – pakiet podstawowy, EKG), porada lekarska, opieka pielęgniarska, farmakoterapia</w:t>
            </w:r>
          </w:p>
        </w:tc>
        <w:tc>
          <w:tcPr>
            <w:tcW w:w="460" w:type="pct"/>
            <w:vAlign w:val="center"/>
          </w:tcPr>
          <w:p w:rsidR="00336025" w:rsidRPr="00E3388A" w:rsidRDefault="00527B77" w:rsidP="003A78D5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3388A">
              <w:rPr>
                <w:rFonts w:ascii="Arial" w:hAnsi="Arial" w:cs="Arial"/>
                <w:bCs/>
                <w:sz w:val="22"/>
                <w:szCs w:val="22"/>
              </w:rPr>
              <w:t>93</w:t>
            </w:r>
          </w:p>
        </w:tc>
      </w:tr>
      <w:tr w:rsidR="00336025" w:rsidRPr="00CA27B9" w:rsidTr="003A78D5">
        <w:trPr>
          <w:trHeight w:val="796"/>
        </w:trPr>
        <w:tc>
          <w:tcPr>
            <w:tcW w:w="684" w:type="pct"/>
            <w:vAlign w:val="center"/>
          </w:tcPr>
          <w:p w:rsidR="00336025" w:rsidRPr="00CA27B9" w:rsidRDefault="00336025" w:rsidP="003A78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7B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II</w:t>
            </w:r>
          </w:p>
        </w:tc>
        <w:tc>
          <w:tcPr>
            <w:tcW w:w="3856" w:type="pct"/>
            <w:vAlign w:val="center"/>
          </w:tcPr>
          <w:p w:rsidR="00336025" w:rsidRPr="00CA27B9" w:rsidRDefault="00336025" w:rsidP="003A78D5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A27B9">
              <w:rPr>
                <w:rFonts w:ascii="Arial" w:hAnsi="Arial" w:cs="Arial"/>
                <w:bCs/>
                <w:sz w:val="22"/>
                <w:szCs w:val="22"/>
              </w:rPr>
              <w:t>Rozszerzona diagnostyka (badania laboratoryjne – pakiet dodatkowy, RTG przeglądowe, USG), konsultacja, małe zabiegi</w:t>
            </w:r>
          </w:p>
        </w:tc>
        <w:tc>
          <w:tcPr>
            <w:tcW w:w="460" w:type="pct"/>
            <w:vAlign w:val="center"/>
          </w:tcPr>
          <w:p w:rsidR="00336025" w:rsidRPr="00E3388A" w:rsidRDefault="00527B77" w:rsidP="003A78D5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3388A">
              <w:rPr>
                <w:rFonts w:ascii="Arial" w:hAnsi="Arial" w:cs="Arial"/>
                <w:bCs/>
                <w:sz w:val="22"/>
                <w:szCs w:val="22"/>
              </w:rPr>
              <w:t>248</w:t>
            </w:r>
          </w:p>
        </w:tc>
      </w:tr>
      <w:tr w:rsidR="00336025" w:rsidRPr="00CA27B9" w:rsidTr="003A78D5">
        <w:trPr>
          <w:trHeight w:val="1253"/>
        </w:trPr>
        <w:tc>
          <w:tcPr>
            <w:tcW w:w="684" w:type="pct"/>
            <w:vAlign w:val="center"/>
          </w:tcPr>
          <w:p w:rsidR="00336025" w:rsidRPr="00CA27B9" w:rsidRDefault="00336025" w:rsidP="003A78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7B9">
              <w:rPr>
                <w:rFonts w:ascii="Arial" w:hAnsi="Arial" w:cs="Arial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3856" w:type="pct"/>
            <w:vAlign w:val="center"/>
          </w:tcPr>
          <w:p w:rsidR="00336025" w:rsidRPr="00CA27B9" w:rsidRDefault="00336025" w:rsidP="003A78D5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A27B9">
              <w:rPr>
                <w:rFonts w:ascii="Arial" w:hAnsi="Arial" w:cs="Arial"/>
                <w:bCs/>
                <w:sz w:val="22"/>
                <w:szCs w:val="22"/>
              </w:rPr>
              <w:t xml:space="preserve">Rozszerzona diagnostyka obrazowa, monitorowanie podstawowych czynności życiowych, farmakoterapia (dożylna, </w:t>
            </w:r>
            <w:proofErr w:type="spellStart"/>
            <w:r w:rsidRPr="00CA27B9">
              <w:rPr>
                <w:rFonts w:ascii="Arial" w:hAnsi="Arial" w:cs="Arial"/>
                <w:bCs/>
                <w:sz w:val="22"/>
                <w:szCs w:val="22"/>
              </w:rPr>
              <w:t>doszpikowa</w:t>
            </w:r>
            <w:proofErr w:type="spellEnd"/>
            <w:r w:rsidRPr="00CA27B9">
              <w:rPr>
                <w:rFonts w:ascii="Arial" w:hAnsi="Arial" w:cs="Arial"/>
                <w:bCs/>
                <w:sz w:val="22"/>
                <w:szCs w:val="22"/>
              </w:rPr>
              <w:t>), mały zabieg operacyjny w trybie ambulatoryjnym, badanie inwazyjne (nakłucie lędźwiowe, nakłucie jam ciała),</w:t>
            </w:r>
            <w:r w:rsidRPr="00CA27B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CA27B9">
              <w:rPr>
                <w:rFonts w:ascii="Arial" w:hAnsi="Arial" w:cs="Arial"/>
                <w:bCs/>
                <w:sz w:val="22"/>
                <w:szCs w:val="22"/>
              </w:rPr>
              <w:t>inne badania dodatkowe</w:t>
            </w:r>
          </w:p>
        </w:tc>
        <w:tc>
          <w:tcPr>
            <w:tcW w:w="460" w:type="pct"/>
            <w:vAlign w:val="center"/>
          </w:tcPr>
          <w:p w:rsidR="00336025" w:rsidRPr="00E3388A" w:rsidRDefault="00527B77" w:rsidP="003A78D5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3388A">
              <w:rPr>
                <w:rFonts w:ascii="Arial" w:hAnsi="Arial" w:cs="Arial"/>
                <w:bCs/>
                <w:sz w:val="22"/>
                <w:szCs w:val="22"/>
              </w:rPr>
              <w:t>342</w:t>
            </w:r>
          </w:p>
        </w:tc>
      </w:tr>
      <w:tr w:rsidR="00336025" w:rsidRPr="00CA27B9" w:rsidTr="003A78D5">
        <w:trPr>
          <w:trHeight w:val="1367"/>
        </w:trPr>
        <w:tc>
          <w:tcPr>
            <w:tcW w:w="684" w:type="pct"/>
            <w:vAlign w:val="center"/>
          </w:tcPr>
          <w:p w:rsidR="00336025" w:rsidRPr="00CA27B9" w:rsidRDefault="00336025" w:rsidP="003A78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7B9">
              <w:rPr>
                <w:rFonts w:ascii="Arial" w:hAnsi="Arial" w:cs="Arial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3856" w:type="pct"/>
            <w:vAlign w:val="center"/>
          </w:tcPr>
          <w:p w:rsidR="00336025" w:rsidRPr="00CA27B9" w:rsidRDefault="00336025" w:rsidP="003A78D5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A27B9">
              <w:rPr>
                <w:rFonts w:ascii="Arial" w:hAnsi="Arial" w:cs="Arial"/>
                <w:bCs/>
                <w:sz w:val="22"/>
                <w:szCs w:val="22"/>
              </w:rPr>
              <w:t>Czynności związane z podtrzymaniem funkcji życiowych, rozszerzona diagnostyka, prowadzenie infuzji dożylnych, endoskopia, resuscytacja (ALS z użyciem urządzeń mechanicznych)</w:t>
            </w:r>
          </w:p>
        </w:tc>
        <w:tc>
          <w:tcPr>
            <w:tcW w:w="460" w:type="pct"/>
            <w:vAlign w:val="center"/>
          </w:tcPr>
          <w:p w:rsidR="00336025" w:rsidRPr="00E3388A" w:rsidRDefault="00527B77" w:rsidP="003A78D5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3388A">
              <w:rPr>
                <w:rFonts w:ascii="Arial" w:hAnsi="Arial" w:cs="Arial"/>
                <w:bCs/>
                <w:sz w:val="22"/>
                <w:szCs w:val="22"/>
              </w:rPr>
              <w:t>498</w:t>
            </w:r>
          </w:p>
        </w:tc>
      </w:tr>
      <w:tr w:rsidR="00336025" w:rsidRPr="00CA27B9" w:rsidTr="003A78D5">
        <w:tc>
          <w:tcPr>
            <w:tcW w:w="684" w:type="pct"/>
            <w:vAlign w:val="center"/>
          </w:tcPr>
          <w:p w:rsidR="00336025" w:rsidRPr="00CA27B9" w:rsidRDefault="00336025" w:rsidP="003A78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7B9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3856" w:type="pct"/>
            <w:vAlign w:val="center"/>
          </w:tcPr>
          <w:p w:rsidR="00336025" w:rsidRPr="00CA27B9" w:rsidRDefault="00336025" w:rsidP="003A78D5">
            <w:pPr>
              <w:tabs>
                <w:tab w:val="left" w:pos="709"/>
              </w:tabs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A27B9">
              <w:rPr>
                <w:rFonts w:ascii="Arial" w:hAnsi="Arial" w:cs="Arial"/>
                <w:bCs/>
                <w:sz w:val="22"/>
                <w:szCs w:val="22"/>
              </w:rPr>
              <w:t>Jednodniowa hospitalizacja pacjenta w SOR – monitorowanie funkcji życiowych, rozszerzona diagnostyka obrazowa (</w:t>
            </w:r>
            <w:proofErr w:type="spellStart"/>
            <w:r w:rsidRPr="00CA27B9">
              <w:rPr>
                <w:rFonts w:ascii="Arial" w:hAnsi="Arial" w:cs="Arial"/>
                <w:bCs/>
                <w:sz w:val="22"/>
                <w:szCs w:val="22"/>
              </w:rPr>
              <w:t>angiotomografia</w:t>
            </w:r>
            <w:proofErr w:type="spellEnd"/>
            <w:r w:rsidRPr="00CA27B9">
              <w:rPr>
                <w:rFonts w:ascii="Arial" w:hAnsi="Arial" w:cs="Arial"/>
                <w:bCs/>
                <w:sz w:val="22"/>
                <w:szCs w:val="22"/>
              </w:rPr>
              <w:t xml:space="preserve">, trauma </w:t>
            </w:r>
            <w:proofErr w:type="spellStart"/>
            <w:r w:rsidRPr="00CA27B9">
              <w:rPr>
                <w:rFonts w:ascii="Arial" w:hAnsi="Arial" w:cs="Arial"/>
                <w:bCs/>
                <w:sz w:val="22"/>
                <w:szCs w:val="22"/>
              </w:rPr>
              <w:t>scan</w:t>
            </w:r>
            <w:proofErr w:type="spellEnd"/>
            <w:r w:rsidRPr="00CA27B9">
              <w:rPr>
                <w:rFonts w:ascii="Arial" w:hAnsi="Arial" w:cs="Arial"/>
                <w:bCs/>
                <w:sz w:val="22"/>
                <w:szCs w:val="22"/>
              </w:rPr>
              <w:t xml:space="preserve">, TK w znieczuleniu ogólnym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CA27B9">
              <w:rPr>
                <w:rFonts w:ascii="Arial" w:hAnsi="Arial" w:cs="Arial"/>
                <w:bCs/>
                <w:sz w:val="22"/>
                <w:szCs w:val="22"/>
              </w:rPr>
              <w:t>u dzieci)</w:t>
            </w:r>
          </w:p>
        </w:tc>
        <w:tc>
          <w:tcPr>
            <w:tcW w:w="460" w:type="pct"/>
            <w:vAlign w:val="center"/>
          </w:tcPr>
          <w:p w:rsidR="00336025" w:rsidRPr="00E3388A" w:rsidRDefault="00527B77" w:rsidP="003A78D5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3388A">
              <w:rPr>
                <w:rFonts w:ascii="Arial" w:hAnsi="Arial" w:cs="Arial"/>
                <w:bCs/>
                <w:sz w:val="22"/>
                <w:szCs w:val="22"/>
              </w:rPr>
              <w:t>746</w:t>
            </w:r>
          </w:p>
        </w:tc>
      </w:tr>
      <w:tr w:rsidR="00336025" w:rsidRPr="00CA27B9" w:rsidTr="003A78D5">
        <w:trPr>
          <w:trHeight w:val="1644"/>
        </w:trPr>
        <w:tc>
          <w:tcPr>
            <w:tcW w:w="684" w:type="pct"/>
            <w:vAlign w:val="center"/>
          </w:tcPr>
          <w:p w:rsidR="00336025" w:rsidRPr="00CA27B9" w:rsidRDefault="00336025" w:rsidP="003A78D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7B9">
              <w:rPr>
                <w:rFonts w:ascii="Arial" w:hAnsi="Arial" w:cs="Arial"/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3856" w:type="pct"/>
            <w:vAlign w:val="center"/>
          </w:tcPr>
          <w:p w:rsidR="00336025" w:rsidRPr="00F82375" w:rsidRDefault="00336025" w:rsidP="003A78D5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82375">
              <w:rPr>
                <w:rFonts w:ascii="Arial" w:hAnsi="Arial" w:cs="Arial"/>
                <w:bCs/>
                <w:sz w:val="22"/>
                <w:szCs w:val="22"/>
              </w:rPr>
              <w:t xml:space="preserve">Jednodniowa hospitalizacja pacjenta na stanowisku IT – monitorowanie funkcji życiowych pacjenta wg karty wzmożonego nadzoru - stanowiącej odpowiednio załącznik nr 8 i 9 do zarządzenia, monitoring, sztuczna wentylacja, farmakoterapia, dalsza diagnostyka, </w:t>
            </w:r>
            <w:proofErr w:type="spellStart"/>
            <w:r w:rsidRPr="00F82375">
              <w:rPr>
                <w:rFonts w:ascii="Arial" w:hAnsi="Arial" w:cs="Arial"/>
                <w:bCs/>
                <w:sz w:val="22"/>
                <w:szCs w:val="22"/>
              </w:rPr>
              <w:t>damage</w:t>
            </w:r>
            <w:proofErr w:type="spellEnd"/>
            <w:r w:rsidRPr="00F8237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F82375">
              <w:rPr>
                <w:rFonts w:ascii="Arial" w:hAnsi="Arial" w:cs="Arial"/>
                <w:bCs/>
                <w:sz w:val="22"/>
                <w:szCs w:val="22"/>
              </w:rPr>
              <w:t>control</w:t>
            </w:r>
            <w:proofErr w:type="spellEnd"/>
          </w:p>
        </w:tc>
        <w:tc>
          <w:tcPr>
            <w:tcW w:w="460" w:type="pct"/>
            <w:vAlign w:val="center"/>
          </w:tcPr>
          <w:p w:rsidR="00336025" w:rsidRPr="00E3388A" w:rsidRDefault="00527B77" w:rsidP="003A78D5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3388A">
              <w:rPr>
                <w:rFonts w:ascii="Arial" w:hAnsi="Arial" w:cs="Arial"/>
                <w:bCs/>
                <w:sz w:val="22"/>
                <w:szCs w:val="22"/>
              </w:rPr>
              <w:t>871</w:t>
            </w:r>
          </w:p>
        </w:tc>
      </w:tr>
    </w:tbl>
    <w:p w:rsidR="00336025" w:rsidRPr="00336025" w:rsidRDefault="00336025" w:rsidP="008746F9">
      <w:pPr>
        <w:spacing w:line="360" w:lineRule="auto"/>
        <w:ind w:left="8505" w:right="-142" w:hanging="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”,</w:t>
      </w:r>
    </w:p>
    <w:p w:rsidR="000D73E5" w:rsidRDefault="00521FFB" w:rsidP="000D73E5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8746F9">
        <w:rPr>
          <w:rFonts w:ascii="Arial" w:hAnsi="Arial" w:cs="Arial"/>
        </w:rPr>
        <w:t xml:space="preserve">) </w:t>
      </w:r>
      <w:r w:rsidR="000D73E5">
        <w:rPr>
          <w:rFonts w:ascii="Arial" w:hAnsi="Arial" w:cs="Arial"/>
        </w:rPr>
        <w:t>ust. 11</w:t>
      </w:r>
      <w:r w:rsidR="000D73E5" w:rsidRPr="000D73E5">
        <w:rPr>
          <w:rFonts w:ascii="Arial" w:hAnsi="Arial" w:cs="Arial"/>
        </w:rPr>
        <w:t xml:space="preserve"> otrzymuje brzmienie</w:t>
      </w:r>
      <w:r w:rsidR="000D73E5">
        <w:rPr>
          <w:rFonts w:ascii="Arial" w:hAnsi="Arial" w:cs="Arial"/>
        </w:rPr>
        <w:t>:</w:t>
      </w:r>
    </w:p>
    <w:p w:rsidR="000D73E5" w:rsidRPr="000919F8" w:rsidRDefault="000D73E5" w:rsidP="000D73E5">
      <w:pPr>
        <w:tabs>
          <w:tab w:val="left" w:pos="993"/>
          <w:tab w:val="left" w:pos="1843"/>
        </w:tabs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„11. </w:t>
      </w:r>
      <w:r w:rsidRPr="000919F8">
        <w:rPr>
          <w:rFonts w:ascii="Arial" w:hAnsi="Arial" w:cs="Arial"/>
        </w:rPr>
        <w:t xml:space="preserve">Składowa ryczałtu za funkcję określana jest według poniższego wzoru, </w:t>
      </w:r>
      <w:r w:rsidRPr="000919F8">
        <w:rPr>
          <w:rFonts w:ascii="Arial" w:hAnsi="Arial" w:cs="Arial"/>
        </w:rPr>
        <w:br/>
        <w:t xml:space="preserve">z uwzględnieniem liczby pacjentów, zakwalifikowanych do odpowiedniej kategorii stanu zdrowia pacjenta, na podstawie wykonanych procedur medycznych, określonych w </w:t>
      </w:r>
      <w:r w:rsidRPr="000919F8">
        <w:rPr>
          <w:rFonts w:ascii="Arial" w:hAnsi="Arial" w:cs="Arial"/>
          <w:b/>
        </w:rPr>
        <w:t>załączniku nr 7</w:t>
      </w:r>
      <w:r w:rsidRPr="000919F8">
        <w:rPr>
          <w:rFonts w:ascii="Arial" w:hAnsi="Arial" w:cs="Arial"/>
        </w:rPr>
        <w:t xml:space="preserve"> do zarządzenia oraz wag poszczególnych kategorii: </w:t>
      </w:r>
    </w:p>
    <w:p w:rsidR="000D73E5" w:rsidRPr="001E550E" w:rsidRDefault="000D73E5" w:rsidP="000D73E5">
      <w:pPr>
        <w:spacing w:line="360" w:lineRule="auto"/>
        <w:ind w:firstLine="709"/>
        <w:jc w:val="center"/>
        <w:rPr>
          <w:rFonts w:ascii="Arial" w:hAnsi="Arial" w:cs="Arial"/>
        </w:rPr>
      </w:pPr>
      <w:r w:rsidRPr="000919F8">
        <w:rPr>
          <w:rFonts w:ascii="Arial" w:hAnsi="Arial" w:cs="Arial"/>
          <w:iCs/>
          <w:lang w:eastAsia="en-US"/>
        </w:rPr>
        <w:br/>
      </w:r>
      <w:r w:rsidRPr="007004C0">
        <w:rPr>
          <w:rFonts w:ascii="Arial" w:hAnsi="Arial" w:cs="Arial"/>
          <w:noProof/>
        </w:rPr>
        <w:drawing>
          <wp:inline distT="0" distB="0" distL="0" distR="0" wp14:anchorId="2FB61070" wp14:editId="76A16E54">
            <wp:extent cx="1261110" cy="473075"/>
            <wp:effectExtent l="0" t="0" r="0" b="317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47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3E5" w:rsidRPr="001E550E" w:rsidRDefault="000D73E5" w:rsidP="000D73E5">
      <w:pPr>
        <w:spacing w:line="360" w:lineRule="auto"/>
        <w:ind w:firstLine="709"/>
        <w:jc w:val="both"/>
        <w:rPr>
          <w:rFonts w:ascii="Arial" w:hAnsi="Arial" w:cs="Arial"/>
        </w:rPr>
      </w:pPr>
      <w:r w:rsidRPr="001E550E">
        <w:rPr>
          <w:rFonts w:ascii="Arial" w:hAnsi="Arial" w:cs="Arial"/>
        </w:rPr>
        <w:t>gdzie:</w:t>
      </w:r>
    </w:p>
    <w:p w:rsidR="000D73E5" w:rsidRPr="001E550E" w:rsidRDefault="000D73E5" w:rsidP="000D73E5">
      <w:pPr>
        <w:spacing w:line="360" w:lineRule="auto"/>
        <w:ind w:firstLine="709"/>
        <w:jc w:val="both"/>
        <w:rPr>
          <w:rFonts w:ascii="Arial" w:hAnsi="Arial" w:cs="Arial"/>
        </w:rPr>
      </w:pPr>
      <w:r w:rsidRPr="001E550E">
        <w:rPr>
          <w:rFonts w:ascii="Arial" w:hAnsi="Arial" w:cs="Arial"/>
        </w:rPr>
        <w:t xml:space="preserve">a – stawka za </w:t>
      </w:r>
      <w:r w:rsidRPr="00C06B2E">
        <w:rPr>
          <w:rFonts w:ascii="Arial" w:hAnsi="Arial" w:cs="Arial"/>
        </w:rPr>
        <w:t>punkt (w IP przyjmuje się wartość 1 zł),</w:t>
      </w:r>
    </w:p>
    <w:p w:rsidR="000D73E5" w:rsidRPr="001E550E" w:rsidRDefault="000D73E5" w:rsidP="000D73E5">
      <w:pPr>
        <w:spacing w:line="360" w:lineRule="auto"/>
        <w:ind w:left="1134" w:hanging="425"/>
        <w:jc w:val="both"/>
        <w:rPr>
          <w:rFonts w:ascii="Arial" w:hAnsi="Arial" w:cs="Arial"/>
        </w:rPr>
      </w:pPr>
      <w:proofErr w:type="spellStart"/>
      <w:r w:rsidRPr="001E550E">
        <w:rPr>
          <w:rFonts w:ascii="Arial" w:hAnsi="Arial" w:cs="Arial"/>
        </w:rPr>
        <w:t>l</w:t>
      </w:r>
      <w:r w:rsidRPr="001E550E">
        <w:rPr>
          <w:rFonts w:ascii="Arial" w:hAnsi="Arial" w:cs="Arial"/>
          <w:vertAlign w:val="subscript"/>
        </w:rPr>
        <w:t>d</w:t>
      </w:r>
      <w:proofErr w:type="spellEnd"/>
      <w:r w:rsidRPr="001E550E">
        <w:rPr>
          <w:rFonts w:ascii="Arial" w:hAnsi="Arial" w:cs="Arial"/>
        </w:rPr>
        <w:t xml:space="preserve"> – liczba dni w okresie przyjętym do kalkulacji (</w:t>
      </w:r>
      <w:r w:rsidRPr="00B01661">
        <w:rPr>
          <w:rFonts w:ascii="Arial" w:hAnsi="Arial" w:cs="Arial"/>
        </w:rPr>
        <w:t xml:space="preserve">do kalkulacji </w:t>
      </w:r>
      <w:r>
        <w:rPr>
          <w:rFonts w:ascii="Arial" w:hAnsi="Arial" w:cs="Arial"/>
        </w:rPr>
        <w:t xml:space="preserve">przyjmuje się </w:t>
      </w:r>
      <w:r w:rsidRPr="00B01661">
        <w:rPr>
          <w:rFonts w:ascii="Arial" w:hAnsi="Arial" w:cs="Arial"/>
        </w:rPr>
        <w:t>okres</w:t>
      </w:r>
      <w:r>
        <w:rPr>
          <w:rFonts w:ascii="Arial" w:hAnsi="Arial" w:cs="Arial"/>
        </w:rPr>
        <w:t xml:space="preserve"> </w:t>
      </w:r>
      <w:r w:rsidRPr="001E550E">
        <w:rPr>
          <w:rFonts w:ascii="Arial" w:hAnsi="Arial" w:cs="Arial"/>
        </w:rPr>
        <w:t>zawierają</w:t>
      </w:r>
      <w:r>
        <w:rPr>
          <w:rFonts w:ascii="Arial" w:hAnsi="Arial" w:cs="Arial"/>
        </w:rPr>
        <w:t>cy</w:t>
      </w:r>
      <w:r w:rsidRPr="001E550E">
        <w:rPr>
          <w:rFonts w:ascii="Arial" w:hAnsi="Arial" w:cs="Arial"/>
        </w:rPr>
        <w:t xml:space="preserve"> dane sprawozdawcze z pełnych 12 miesięcy, a</w:t>
      </w:r>
      <w:r>
        <w:rPr>
          <w:rFonts w:ascii="Arial" w:hAnsi="Arial" w:cs="Arial"/>
        </w:rPr>
        <w:t> </w:t>
      </w:r>
      <w:r w:rsidRPr="001E550E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Pr="001E550E">
        <w:rPr>
          <w:rFonts w:ascii="Arial" w:hAnsi="Arial" w:cs="Arial"/>
        </w:rPr>
        <w:t>przypadku ich braku, do obliczeń przyjmuje się dane sprawozdawcze z minimum 3 kolejnych miesięcy),</w:t>
      </w:r>
    </w:p>
    <w:p w:rsidR="000D73E5" w:rsidRPr="001E550E" w:rsidRDefault="000D73E5" w:rsidP="000D73E5">
      <w:pPr>
        <w:spacing w:line="360" w:lineRule="auto"/>
        <w:ind w:left="1134" w:hanging="425"/>
        <w:jc w:val="both"/>
        <w:rPr>
          <w:rFonts w:ascii="Arial" w:hAnsi="Arial" w:cs="Arial"/>
        </w:rPr>
      </w:pPr>
      <w:r w:rsidRPr="001E550E">
        <w:rPr>
          <w:rFonts w:ascii="Arial" w:hAnsi="Arial" w:cs="Arial"/>
        </w:rPr>
        <w:t>P</w:t>
      </w:r>
      <w:r w:rsidRPr="001E550E">
        <w:rPr>
          <w:rFonts w:ascii="Arial" w:hAnsi="Arial" w:cs="Arial"/>
          <w:vertAlign w:val="subscript"/>
        </w:rPr>
        <w:t>i</w:t>
      </w:r>
      <w:r w:rsidRPr="001E550E">
        <w:rPr>
          <w:rFonts w:ascii="Arial" w:hAnsi="Arial" w:cs="Arial"/>
        </w:rPr>
        <w:t xml:space="preserve"> – liczba pacjentów zakwalifikowanych do odpowiedniej kategorii stanu zdrowia pacjenta, dla których świadczenia w IP zostały zakończone </w:t>
      </w:r>
      <w:r w:rsidRPr="001E550E">
        <w:rPr>
          <w:rFonts w:ascii="Arial" w:hAnsi="Arial" w:cs="Arial"/>
        </w:rPr>
        <w:lastRenderedPageBreak/>
        <w:t>wypisem (składowa nie uwzględnia pacjentów planowych oraz przyjętych do dalszej hospitalizacji w danym podmiocie),</w:t>
      </w:r>
    </w:p>
    <w:p w:rsidR="000D73E5" w:rsidRDefault="000D73E5" w:rsidP="000D73E5">
      <w:pPr>
        <w:spacing w:line="360" w:lineRule="auto"/>
        <w:ind w:left="709"/>
        <w:jc w:val="both"/>
        <w:rPr>
          <w:rFonts w:ascii="Arial" w:hAnsi="Arial" w:cs="Arial"/>
          <w:bCs/>
        </w:rPr>
      </w:pPr>
      <w:proofErr w:type="spellStart"/>
      <w:r w:rsidRPr="001E550E">
        <w:rPr>
          <w:rFonts w:ascii="Arial" w:hAnsi="Arial" w:cs="Arial"/>
        </w:rPr>
        <w:t>W</w:t>
      </w:r>
      <w:r w:rsidRPr="001E550E">
        <w:rPr>
          <w:rFonts w:ascii="Arial" w:hAnsi="Arial" w:cs="Arial"/>
          <w:vertAlign w:val="subscript"/>
        </w:rPr>
        <w:t>i</w:t>
      </w:r>
      <w:proofErr w:type="spellEnd"/>
      <w:r w:rsidRPr="001E550E">
        <w:rPr>
          <w:rFonts w:ascii="Arial" w:hAnsi="Arial" w:cs="Arial"/>
        </w:rPr>
        <w:t xml:space="preserve"> – waga odpowiedniej kategorii,</w:t>
      </w:r>
      <w:r w:rsidRPr="001E550E">
        <w:rPr>
          <w:rFonts w:ascii="Arial" w:hAnsi="Arial" w:cs="Arial"/>
          <w:bCs/>
        </w:rPr>
        <w:t xml:space="preserve"> określona w poniższej tabeli:</w:t>
      </w:r>
    </w:p>
    <w:p w:rsidR="000D73E5" w:rsidRDefault="000D73E5" w:rsidP="000D73E5">
      <w:pPr>
        <w:widowControl w:val="0"/>
        <w:adjustRightInd w:val="0"/>
        <w:spacing w:after="120" w:line="312" w:lineRule="auto"/>
        <w:textAlignment w:val="baseline"/>
        <w:rPr>
          <w:rFonts w:ascii="Arial" w:hAnsi="Arial" w:cs="Arial"/>
          <w:b/>
          <w:bCs/>
          <w:spacing w:val="-8"/>
        </w:rPr>
      </w:pPr>
    </w:p>
    <w:p w:rsidR="000D73E5" w:rsidRPr="001E550E" w:rsidRDefault="000D73E5" w:rsidP="000D73E5">
      <w:pPr>
        <w:widowControl w:val="0"/>
        <w:adjustRightInd w:val="0"/>
        <w:spacing w:after="120" w:line="312" w:lineRule="auto"/>
        <w:jc w:val="center"/>
        <w:textAlignment w:val="baseline"/>
        <w:rPr>
          <w:rFonts w:ascii="Arial" w:hAnsi="Arial" w:cs="Arial"/>
          <w:b/>
          <w:bCs/>
          <w:spacing w:val="-8"/>
        </w:rPr>
      </w:pPr>
      <w:r w:rsidRPr="001E550E">
        <w:rPr>
          <w:rFonts w:ascii="Arial" w:hAnsi="Arial" w:cs="Arial"/>
          <w:b/>
          <w:bCs/>
          <w:spacing w:val="-8"/>
        </w:rPr>
        <w:t>Kategorie stanu zdrowia pacjenta w IP</w:t>
      </w:r>
    </w:p>
    <w:tbl>
      <w:tblPr>
        <w:tblW w:w="8425" w:type="dxa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3"/>
        <w:gridCol w:w="6319"/>
        <w:gridCol w:w="1053"/>
      </w:tblGrid>
      <w:tr w:rsidR="000D73E5" w:rsidRPr="007004C0" w:rsidTr="000D73E5">
        <w:trPr>
          <w:trHeight w:val="792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3E5" w:rsidRPr="001E550E" w:rsidRDefault="000D73E5" w:rsidP="00334201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/>
                <w:spacing w:val="-8"/>
              </w:rPr>
            </w:pPr>
            <w:r w:rsidRPr="001E550E">
              <w:rPr>
                <w:rFonts w:ascii="Arial" w:hAnsi="Arial" w:cs="Arial"/>
                <w:b/>
                <w:spacing w:val="-8"/>
              </w:rPr>
              <w:t>Kategoria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3E5" w:rsidRPr="001E550E" w:rsidRDefault="000D73E5" w:rsidP="00334201">
            <w:pPr>
              <w:widowControl w:val="0"/>
              <w:adjustRightInd w:val="0"/>
              <w:spacing w:after="120" w:line="312" w:lineRule="auto"/>
              <w:ind w:firstLine="1417"/>
              <w:jc w:val="both"/>
              <w:textAlignment w:val="baseline"/>
              <w:rPr>
                <w:rFonts w:ascii="Arial" w:hAnsi="Arial" w:cs="Arial"/>
                <w:b/>
                <w:spacing w:val="-8"/>
              </w:rPr>
            </w:pPr>
            <w:r w:rsidRPr="001E550E">
              <w:rPr>
                <w:rFonts w:ascii="Arial" w:hAnsi="Arial" w:cs="Arial"/>
                <w:b/>
                <w:spacing w:val="-8"/>
              </w:rPr>
              <w:t>Zakres świadczeń udzielanych pacjentom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73E5" w:rsidRPr="001E550E" w:rsidRDefault="000D73E5" w:rsidP="00334201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/>
                <w:bCs/>
                <w:spacing w:val="-8"/>
              </w:rPr>
            </w:pPr>
            <w:r w:rsidRPr="001E550E">
              <w:rPr>
                <w:rFonts w:ascii="Arial" w:hAnsi="Arial" w:cs="Arial"/>
                <w:b/>
                <w:spacing w:val="-8"/>
              </w:rPr>
              <w:t>Waga</w:t>
            </w:r>
            <w:r w:rsidRPr="001E550E">
              <w:rPr>
                <w:rFonts w:ascii="Arial" w:hAnsi="Arial" w:cs="Arial"/>
                <w:b/>
                <w:bCs/>
                <w:spacing w:val="-8"/>
              </w:rPr>
              <w:t xml:space="preserve"> </w:t>
            </w:r>
          </w:p>
        </w:tc>
      </w:tr>
      <w:tr w:rsidR="00E3388A" w:rsidRPr="00E3388A" w:rsidTr="000D73E5">
        <w:trPr>
          <w:trHeight w:val="440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3E5" w:rsidRPr="001E550E" w:rsidRDefault="000D73E5" w:rsidP="00334201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  <w:spacing w:val="-8"/>
              </w:rPr>
              <w:t>I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E5" w:rsidRPr="001E550E" w:rsidRDefault="000D73E5" w:rsidP="00334201">
            <w:pPr>
              <w:widowControl w:val="0"/>
              <w:adjustRightInd w:val="0"/>
              <w:spacing w:after="120" w:line="312" w:lineRule="auto"/>
              <w:ind w:left="141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</w:rPr>
              <w:t>Porada lekarska, opieka pielęgniarska, wstępna ocena stanu  zdrowia pacjenta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73E5" w:rsidRPr="00E3388A" w:rsidRDefault="00527B77" w:rsidP="00334201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Cs/>
                <w:spacing w:val="-8"/>
              </w:rPr>
            </w:pPr>
            <w:r w:rsidRPr="00E3388A">
              <w:rPr>
                <w:rFonts w:ascii="Arial" w:hAnsi="Arial" w:cs="Arial"/>
                <w:bCs/>
                <w:spacing w:val="-8"/>
              </w:rPr>
              <w:t>63</w:t>
            </w:r>
          </w:p>
        </w:tc>
      </w:tr>
      <w:tr w:rsidR="00E3388A" w:rsidRPr="00E3388A" w:rsidTr="000D73E5">
        <w:trPr>
          <w:trHeight w:val="475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3E5" w:rsidRPr="001E550E" w:rsidRDefault="000D73E5" w:rsidP="00334201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  <w:spacing w:val="-8"/>
              </w:rPr>
              <w:t>II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E5" w:rsidRPr="001E550E" w:rsidRDefault="000D73E5" w:rsidP="00334201">
            <w:pPr>
              <w:widowControl w:val="0"/>
              <w:adjustRightInd w:val="0"/>
              <w:spacing w:after="120" w:line="312" w:lineRule="auto"/>
              <w:ind w:left="141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</w:rPr>
              <w:t>Podstawowa diagnostyka (RTG, USG, badania laboratoryjne), konsultacja specjalistyczna, małe zabiegi, monitorowanie podstawowych czynności życiowych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73E5" w:rsidRPr="00E3388A" w:rsidRDefault="00527B77" w:rsidP="00334201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Cs/>
                <w:spacing w:val="-8"/>
              </w:rPr>
            </w:pPr>
            <w:r w:rsidRPr="00E3388A">
              <w:rPr>
                <w:rFonts w:ascii="Arial" w:hAnsi="Arial" w:cs="Arial"/>
                <w:bCs/>
                <w:spacing w:val="-8"/>
              </w:rPr>
              <w:t>146</w:t>
            </w:r>
          </w:p>
        </w:tc>
      </w:tr>
      <w:tr w:rsidR="00E3388A" w:rsidRPr="00E3388A" w:rsidTr="000D73E5">
        <w:trPr>
          <w:trHeight w:val="855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3E5" w:rsidRPr="001E550E" w:rsidRDefault="000D73E5" w:rsidP="00334201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  <w:spacing w:val="-8"/>
              </w:rPr>
              <w:t>III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3E5" w:rsidRPr="001E550E" w:rsidRDefault="000D73E5" w:rsidP="00334201">
            <w:pPr>
              <w:widowControl w:val="0"/>
              <w:adjustRightInd w:val="0"/>
              <w:spacing w:after="120" w:line="312" w:lineRule="auto"/>
              <w:ind w:left="141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</w:rPr>
              <w:t xml:space="preserve">Rozszerzona diagnostyka (TK, USG – </w:t>
            </w:r>
            <w:proofErr w:type="spellStart"/>
            <w:r w:rsidRPr="001E550E">
              <w:rPr>
                <w:rFonts w:ascii="Arial" w:hAnsi="Arial" w:cs="Arial"/>
              </w:rPr>
              <w:t>doppler</w:t>
            </w:r>
            <w:proofErr w:type="spellEnd"/>
            <w:r w:rsidRPr="001E550E">
              <w:rPr>
                <w:rFonts w:ascii="Arial" w:hAnsi="Arial" w:cs="Arial"/>
              </w:rPr>
              <w:t>), czynności związane z podtrzymaniem funkcji życiowych, resuscytacja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73E5" w:rsidRPr="00E3388A" w:rsidRDefault="00527B77" w:rsidP="00334201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Cs/>
                <w:spacing w:val="-8"/>
              </w:rPr>
            </w:pPr>
            <w:r w:rsidRPr="00E3388A">
              <w:rPr>
                <w:rFonts w:ascii="Arial" w:hAnsi="Arial" w:cs="Arial"/>
                <w:bCs/>
                <w:spacing w:val="-8"/>
              </w:rPr>
              <w:t>273</w:t>
            </w:r>
          </w:p>
        </w:tc>
      </w:tr>
      <w:tr w:rsidR="00E3388A" w:rsidRPr="00E3388A" w:rsidTr="000D73E5">
        <w:trPr>
          <w:trHeight w:val="855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3E5" w:rsidRPr="001E550E" w:rsidRDefault="000D73E5" w:rsidP="00334201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spacing w:val="-8"/>
              </w:rPr>
            </w:pPr>
            <w:r w:rsidRPr="001E550E">
              <w:rPr>
                <w:rFonts w:ascii="Arial" w:hAnsi="Arial" w:cs="Arial"/>
                <w:spacing w:val="-8"/>
              </w:rPr>
              <w:t>IV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3E5" w:rsidRPr="001E550E" w:rsidRDefault="000D73E5" w:rsidP="00334201">
            <w:pPr>
              <w:widowControl w:val="0"/>
              <w:adjustRightInd w:val="0"/>
              <w:spacing w:after="120" w:line="312" w:lineRule="auto"/>
              <w:ind w:left="141"/>
              <w:textAlignment w:val="baseline"/>
              <w:rPr>
                <w:rFonts w:ascii="Arial" w:hAnsi="Arial" w:cs="Arial"/>
              </w:rPr>
            </w:pPr>
            <w:r w:rsidRPr="001E550E">
              <w:rPr>
                <w:rFonts w:ascii="Arial" w:hAnsi="Arial" w:cs="Arial"/>
              </w:rPr>
              <w:t>Procedury wykonywane podczas konsultacji specjalistycznych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D73E5" w:rsidRPr="00E3388A" w:rsidRDefault="00527B77" w:rsidP="00334201">
            <w:pPr>
              <w:widowControl w:val="0"/>
              <w:adjustRightInd w:val="0"/>
              <w:spacing w:after="120" w:line="312" w:lineRule="auto"/>
              <w:jc w:val="center"/>
              <w:textAlignment w:val="baseline"/>
              <w:rPr>
                <w:rFonts w:ascii="Arial" w:hAnsi="Arial" w:cs="Arial"/>
                <w:bCs/>
                <w:spacing w:val="-8"/>
              </w:rPr>
            </w:pPr>
            <w:r w:rsidRPr="00E3388A">
              <w:rPr>
                <w:rFonts w:ascii="Arial" w:hAnsi="Arial" w:cs="Arial"/>
                <w:bCs/>
                <w:spacing w:val="-8"/>
              </w:rPr>
              <w:t>355</w:t>
            </w:r>
          </w:p>
        </w:tc>
      </w:tr>
    </w:tbl>
    <w:p w:rsidR="000D73E5" w:rsidRPr="00770763" w:rsidRDefault="000D73E5" w:rsidP="000D73E5">
      <w:pPr>
        <w:autoSpaceDE w:val="0"/>
        <w:autoSpaceDN w:val="0"/>
        <w:adjustRightInd w:val="0"/>
        <w:spacing w:line="360" w:lineRule="auto"/>
        <w:ind w:firstLine="851"/>
        <w:jc w:val="right"/>
        <w:rPr>
          <w:rFonts w:ascii="Arial" w:hAnsi="Arial" w:cs="Arial"/>
        </w:rPr>
      </w:pPr>
      <w:r>
        <w:rPr>
          <w:rFonts w:ascii="Arial" w:hAnsi="Arial" w:cs="Arial"/>
        </w:rPr>
        <w:t>”.</w:t>
      </w:r>
    </w:p>
    <w:p w:rsidR="003C716E" w:rsidRDefault="009A39E8" w:rsidP="00B91CAE">
      <w:pPr>
        <w:tabs>
          <w:tab w:val="left" w:pos="1252"/>
        </w:tabs>
        <w:spacing w:line="360" w:lineRule="auto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§ 2</w:t>
      </w:r>
      <w:r w:rsidR="00461AC6" w:rsidRPr="00770763">
        <w:rPr>
          <w:rFonts w:ascii="Arial" w:hAnsi="Arial" w:cs="Arial"/>
          <w:b/>
        </w:rPr>
        <w:t>.</w:t>
      </w:r>
      <w:r w:rsidR="00461AC6" w:rsidRPr="00770763">
        <w:rPr>
          <w:rFonts w:ascii="Arial" w:hAnsi="Arial" w:cs="Arial"/>
        </w:rPr>
        <w:t xml:space="preserve"> </w:t>
      </w:r>
      <w:r w:rsidR="003C716E" w:rsidRPr="00770763">
        <w:rPr>
          <w:rFonts w:ascii="Arial" w:hAnsi="Arial" w:cs="Arial"/>
          <w:bCs/>
        </w:rPr>
        <w:t xml:space="preserve">Zobowiązuje się dyrektorów </w:t>
      </w:r>
      <w:r w:rsidR="003C716E" w:rsidRPr="003C716E">
        <w:rPr>
          <w:rFonts w:ascii="Arial" w:hAnsi="Arial" w:cs="Arial"/>
          <w:bCs/>
        </w:rPr>
        <w:t>oddziałów wojewódzkich Narodowego Funduszu Zdrowia do wprowadzenia niezbędnych zmian wynikających z wejścia w życie przepisów niniejszego zarządzenia, do postanowień umów zawartych ze świadczeniodawcami.</w:t>
      </w:r>
    </w:p>
    <w:p w:rsidR="00F5721A" w:rsidRPr="00E3388A" w:rsidRDefault="00F5721A" w:rsidP="00F5721A">
      <w:pPr>
        <w:tabs>
          <w:tab w:val="left" w:pos="1252"/>
        </w:tabs>
        <w:spacing w:line="360" w:lineRule="auto"/>
        <w:ind w:firstLine="709"/>
        <w:jc w:val="both"/>
        <w:rPr>
          <w:rFonts w:ascii="Arial" w:hAnsi="Arial" w:cs="Arial"/>
          <w:bCs/>
        </w:rPr>
      </w:pPr>
      <w:r w:rsidRPr="00E3388A">
        <w:rPr>
          <w:rFonts w:ascii="Arial" w:hAnsi="Arial" w:cs="Arial"/>
          <w:b/>
          <w:bCs/>
        </w:rPr>
        <w:t>§ 3.</w:t>
      </w:r>
      <w:r w:rsidRPr="00E3388A">
        <w:rPr>
          <w:rFonts w:ascii="Arial" w:hAnsi="Arial" w:cs="Arial"/>
          <w:bCs/>
        </w:rPr>
        <w:t xml:space="preserve"> Przepisy § 1 stosuje się do ustalenia kwoty zobowiązania i warunków finansowania świadczeń </w:t>
      </w:r>
      <w:r w:rsidR="004376D0" w:rsidRPr="00E3388A">
        <w:rPr>
          <w:rFonts w:ascii="Arial" w:hAnsi="Arial" w:cs="Arial"/>
          <w:bCs/>
        </w:rPr>
        <w:t xml:space="preserve">począwszy </w:t>
      </w:r>
      <w:r w:rsidRPr="00E3388A">
        <w:rPr>
          <w:rFonts w:ascii="Arial" w:hAnsi="Arial" w:cs="Arial"/>
          <w:bCs/>
        </w:rPr>
        <w:t>od dnia 1 lipca 2019 r.</w:t>
      </w:r>
    </w:p>
    <w:p w:rsidR="00530317" w:rsidRDefault="00F5721A" w:rsidP="00521FFB">
      <w:pPr>
        <w:tabs>
          <w:tab w:val="left" w:pos="1252"/>
        </w:tabs>
        <w:spacing w:line="360" w:lineRule="auto"/>
        <w:ind w:firstLine="709"/>
        <w:jc w:val="both"/>
        <w:rPr>
          <w:rFonts w:ascii="Arial" w:hAnsi="Arial" w:cs="Arial"/>
          <w:bCs/>
        </w:rPr>
      </w:pPr>
      <w:r w:rsidRPr="00F5721A">
        <w:rPr>
          <w:rFonts w:ascii="Arial" w:hAnsi="Arial" w:cs="Arial"/>
          <w:b/>
          <w:bCs/>
        </w:rPr>
        <w:t xml:space="preserve">§ </w:t>
      </w:r>
      <w:r w:rsidR="00D82667">
        <w:rPr>
          <w:rFonts w:ascii="Arial" w:hAnsi="Arial" w:cs="Arial"/>
          <w:b/>
          <w:bCs/>
        </w:rPr>
        <w:t>4</w:t>
      </w:r>
      <w:r w:rsidRPr="00F5721A">
        <w:rPr>
          <w:rFonts w:ascii="Arial" w:hAnsi="Arial" w:cs="Arial"/>
          <w:b/>
          <w:bCs/>
        </w:rPr>
        <w:t>.</w:t>
      </w:r>
      <w:r w:rsidRPr="00F5721A">
        <w:rPr>
          <w:rFonts w:ascii="Arial" w:hAnsi="Arial" w:cs="Arial"/>
          <w:bCs/>
        </w:rPr>
        <w:t xml:space="preserve"> </w:t>
      </w:r>
      <w:r w:rsidR="004376D0" w:rsidRPr="004376D0">
        <w:rPr>
          <w:rFonts w:ascii="Arial" w:hAnsi="Arial" w:cs="Arial"/>
          <w:bCs/>
        </w:rPr>
        <w:t xml:space="preserve">Zarządzenie wchodzi w życie w dniu następującym po dniu podpisania </w:t>
      </w:r>
      <w:r w:rsidR="004376D0">
        <w:rPr>
          <w:rFonts w:ascii="Arial" w:hAnsi="Arial" w:cs="Arial"/>
          <w:bCs/>
        </w:rPr>
        <w:br/>
      </w:r>
      <w:r w:rsidR="004376D0" w:rsidRPr="004376D0">
        <w:rPr>
          <w:rFonts w:ascii="Arial" w:hAnsi="Arial" w:cs="Arial"/>
          <w:bCs/>
        </w:rPr>
        <w:t>z mocą o</w:t>
      </w:r>
      <w:r w:rsidR="004376D0">
        <w:rPr>
          <w:rFonts w:ascii="Arial" w:hAnsi="Arial" w:cs="Arial"/>
          <w:bCs/>
        </w:rPr>
        <w:t>bowiązywania od dnia 1 lipca 2019</w:t>
      </w:r>
      <w:r w:rsidR="004376D0" w:rsidRPr="004376D0">
        <w:rPr>
          <w:rFonts w:ascii="Arial" w:hAnsi="Arial" w:cs="Arial"/>
          <w:bCs/>
        </w:rPr>
        <w:t xml:space="preserve"> r.</w:t>
      </w:r>
    </w:p>
    <w:p w:rsidR="00530317" w:rsidRDefault="00530317" w:rsidP="00AA3C32">
      <w:pPr>
        <w:tabs>
          <w:tab w:val="left" w:pos="1252"/>
        </w:tabs>
        <w:spacing w:line="360" w:lineRule="auto"/>
        <w:ind w:firstLine="709"/>
        <w:jc w:val="both"/>
        <w:rPr>
          <w:rFonts w:ascii="Arial" w:hAnsi="Arial" w:cs="Arial"/>
          <w:bCs/>
        </w:rPr>
      </w:pPr>
    </w:p>
    <w:p w:rsidR="008C221B" w:rsidRPr="00C56021" w:rsidRDefault="008C221B" w:rsidP="008C221B">
      <w:pPr>
        <w:tabs>
          <w:tab w:val="left" w:pos="0"/>
          <w:tab w:val="left" w:pos="5812"/>
        </w:tabs>
        <w:spacing w:line="336" w:lineRule="auto"/>
        <w:ind w:left="424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p.o. </w:t>
      </w:r>
      <w:r w:rsidRPr="00C56021">
        <w:rPr>
          <w:rFonts w:ascii="Arial" w:hAnsi="Arial" w:cs="Arial"/>
          <w:b/>
        </w:rPr>
        <w:t>PREZES</w:t>
      </w:r>
      <w:r>
        <w:rPr>
          <w:rFonts w:ascii="Arial" w:hAnsi="Arial" w:cs="Arial"/>
          <w:b/>
        </w:rPr>
        <w:t>A</w:t>
      </w:r>
    </w:p>
    <w:p w:rsidR="008C221B" w:rsidRDefault="008C221B" w:rsidP="008C221B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  <w:b/>
        </w:rPr>
      </w:pPr>
      <w:r w:rsidRPr="00C56021">
        <w:rPr>
          <w:rFonts w:ascii="Arial" w:hAnsi="Arial" w:cs="Arial"/>
          <w:b/>
        </w:rPr>
        <w:t>NARODOWEGO FUNDUSZU ZDROWIA</w:t>
      </w:r>
      <w:r>
        <w:rPr>
          <w:rFonts w:ascii="Arial" w:hAnsi="Arial" w:cs="Arial"/>
          <w:b/>
        </w:rPr>
        <w:br/>
        <w:t>Zastępca Prezesa ds. Operacyjnych</w:t>
      </w:r>
    </w:p>
    <w:p w:rsidR="008C221B" w:rsidRPr="00ED5E65" w:rsidRDefault="008C221B" w:rsidP="008C221B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</w:rPr>
      </w:pPr>
      <w:r w:rsidRPr="00ED5E65">
        <w:rPr>
          <w:rFonts w:ascii="Arial" w:hAnsi="Arial" w:cs="Arial"/>
        </w:rPr>
        <w:t>Adam Niedzielski</w:t>
      </w:r>
    </w:p>
    <w:p w:rsidR="00190E86" w:rsidRPr="001A004A" w:rsidRDefault="00190E86" w:rsidP="008C221B">
      <w:pPr>
        <w:tabs>
          <w:tab w:val="left" w:pos="1252"/>
        </w:tabs>
        <w:spacing w:line="360" w:lineRule="auto"/>
        <w:jc w:val="both"/>
        <w:rPr>
          <w:rFonts w:ascii="Arial" w:hAnsi="Arial" w:cs="Arial"/>
          <w:b/>
        </w:rPr>
      </w:pPr>
      <w:bookmarkStart w:id="0" w:name="_GoBack"/>
      <w:bookmarkEnd w:id="0"/>
    </w:p>
    <w:sectPr w:rsidR="00190E86" w:rsidRPr="001A004A" w:rsidSect="00FC426D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468" w:rsidRDefault="00ED7468" w:rsidP="00FB56A6">
      <w:r>
        <w:separator/>
      </w:r>
    </w:p>
  </w:endnote>
  <w:endnote w:type="continuationSeparator" w:id="0">
    <w:p w:rsidR="00ED7468" w:rsidRDefault="00ED7468" w:rsidP="00FB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151705"/>
      <w:docPartObj>
        <w:docPartGallery w:val="Page Numbers (Bottom of Page)"/>
        <w:docPartUnique/>
      </w:docPartObj>
    </w:sdtPr>
    <w:sdtEndPr/>
    <w:sdtContent>
      <w:p w:rsidR="00FC426D" w:rsidRDefault="00FC42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21B">
          <w:rPr>
            <w:noProof/>
          </w:rPr>
          <w:t>2</w:t>
        </w:r>
        <w:r>
          <w:fldChar w:fldCharType="end"/>
        </w:r>
      </w:p>
    </w:sdtContent>
  </w:sdt>
  <w:p w:rsidR="00FC426D" w:rsidRDefault="00FC42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468" w:rsidRDefault="00ED7468" w:rsidP="00FB56A6">
      <w:r>
        <w:separator/>
      </w:r>
    </w:p>
  </w:footnote>
  <w:footnote w:type="continuationSeparator" w:id="0">
    <w:p w:rsidR="00ED7468" w:rsidRDefault="00ED7468" w:rsidP="00FB56A6">
      <w:r>
        <w:continuationSeparator/>
      </w:r>
    </w:p>
  </w:footnote>
  <w:footnote w:id="1">
    <w:p w:rsidR="00E37ADA" w:rsidRDefault="00E37ADA" w:rsidP="00E37ADA">
      <w:pPr>
        <w:pStyle w:val="Tekstprzypisudolnego"/>
      </w:pPr>
      <w:r w:rsidRPr="008534AD">
        <w:rPr>
          <w:rStyle w:val="Odwoanieprzypisudolnego"/>
          <w:rFonts w:ascii="Arial" w:hAnsi="Arial" w:cs="Arial"/>
          <w:sz w:val="16"/>
          <w:szCs w:val="16"/>
        </w:rPr>
        <w:t>1)</w:t>
      </w:r>
      <w:r w:rsidRPr="008534AD">
        <w:rPr>
          <w:rFonts w:ascii="Arial" w:hAnsi="Arial" w:cs="Arial"/>
          <w:sz w:val="16"/>
          <w:szCs w:val="16"/>
        </w:rPr>
        <w:t xml:space="preserve"> Zmiany tekstu jednolitego wymienionej ustawy z</w:t>
      </w:r>
      <w:r w:rsidR="002043D7">
        <w:rPr>
          <w:rFonts w:ascii="Arial" w:hAnsi="Arial" w:cs="Arial"/>
          <w:sz w:val="16"/>
          <w:szCs w:val="16"/>
        </w:rPr>
        <w:t>ostały ogłoszone w Dz. U. z 2018</w:t>
      </w:r>
      <w:r w:rsidRPr="008534AD">
        <w:rPr>
          <w:rFonts w:ascii="Arial" w:hAnsi="Arial" w:cs="Arial"/>
          <w:sz w:val="16"/>
          <w:szCs w:val="16"/>
        </w:rPr>
        <w:t xml:space="preserve"> r. poz. </w:t>
      </w:r>
      <w:r w:rsidR="002043D7">
        <w:rPr>
          <w:rFonts w:ascii="Arial" w:hAnsi="Arial" w:cs="Arial"/>
          <w:bCs/>
          <w:sz w:val="16"/>
          <w:szCs w:val="16"/>
        </w:rPr>
        <w:t>1515, 1532, 1544, 1552, 1669, 1925, 2192 i 2429 oraz z 2019 r. poz. 60, 303, 39, 447</w:t>
      </w:r>
      <w:r w:rsidR="00925EF2">
        <w:rPr>
          <w:rFonts w:ascii="Arial" w:hAnsi="Arial" w:cs="Arial"/>
          <w:bCs/>
          <w:sz w:val="16"/>
          <w:szCs w:val="16"/>
        </w:rPr>
        <w:t>, 730</w:t>
      </w:r>
      <w:r w:rsidR="003A6D36">
        <w:rPr>
          <w:rFonts w:ascii="Arial" w:hAnsi="Arial" w:cs="Arial"/>
          <w:bCs/>
          <w:sz w:val="16"/>
          <w:szCs w:val="16"/>
        </w:rPr>
        <w:t>,</w:t>
      </w:r>
      <w:r w:rsidR="00925EF2">
        <w:rPr>
          <w:rFonts w:ascii="Arial" w:hAnsi="Arial" w:cs="Arial"/>
          <w:bCs/>
          <w:sz w:val="16"/>
          <w:szCs w:val="16"/>
        </w:rPr>
        <w:t xml:space="preserve"> i752</w:t>
      </w:r>
      <w:r w:rsidR="003A6D36">
        <w:rPr>
          <w:rFonts w:ascii="Arial" w:hAnsi="Arial" w:cs="Arial"/>
          <w:bCs/>
          <w:sz w:val="16"/>
          <w:szCs w:val="16"/>
        </w:rPr>
        <w:t xml:space="preserve"> i 1078</w:t>
      </w:r>
      <w:r w:rsidR="00925EF2">
        <w:rPr>
          <w:rFonts w:ascii="Arial" w:hAnsi="Arial" w:cs="Arial"/>
          <w:b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968"/>
    <w:multiLevelType w:val="hybridMultilevel"/>
    <w:tmpl w:val="2C9E21BC"/>
    <w:lvl w:ilvl="0" w:tplc="5B12151C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695163"/>
    <w:multiLevelType w:val="hybridMultilevel"/>
    <w:tmpl w:val="C8784892"/>
    <w:lvl w:ilvl="0" w:tplc="76E241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77C54"/>
    <w:multiLevelType w:val="hybridMultilevel"/>
    <w:tmpl w:val="8DC40D92"/>
    <w:lvl w:ilvl="0" w:tplc="FD121DBE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1B516D"/>
    <w:multiLevelType w:val="hybridMultilevel"/>
    <w:tmpl w:val="B9DA6068"/>
    <w:lvl w:ilvl="0" w:tplc="5C70A77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532D70"/>
    <w:multiLevelType w:val="hybridMultilevel"/>
    <w:tmpl w:val="57A6EEFA"/>
    <w:lvl w:ilvl="0" w:tplc="77F8CB90">
      <w:start w:val="9"/>
      <w:numFmt w:val="decimal"/>
      <w:lvlText w:val="%1."/>
      <w:lvlJc w:val="left"/>
      <w:pPr>
        <w:ind w:left="1637" w:hanging="360"/>
      </w:pPr>
      <w:rPr>
        <w:rFonts w:cs="Times New Roman"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1C030F"/>
    <w:multiLevelType w:val="hybridMultilevel"/>
    <w:tmpl w:val="7E6E9E62"/>
    <w:lvl w:ilvl="0" w:tplc="F1063D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687BB2"/>
    <w:multiLevelType w:val="hybridMultilevel"/>
    <w:tmpl w:val="1ED08D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53B57"/>
    <w:multiLevelType w:val="hybridMultilevel"/>
    <w:tmpl w:val="B5F0343C"/>
    <w:lvl w:ilvl="0" w:tplc="5D76D16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80F4F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60F20"/>
    <w:multiLevelType w:val="hybridMultilevel"/>
    <w:tmpl w:val="63CAC72A"/>
    <w:lvl w:ilvl="0" w:tplc="498E371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7F60E4B"/>
    <w:multiLevelType w:val="hybridMultilevel"/>
    <w:tmpl w:val="03D8BCCE"/>
    <w:lvl w:ilvl="0" w:tplc="5B12151C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8CC2A43"/>
    <w:multiLevelType w:val="hybridMultilevel"/>
    <w:tmpl w:val="DF16136E"/>
    <w:lvl w:ilvl="0" w:tplc="79EE1B7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FA181D"/>
    <w:multiLevelType w:val="hybridMultilevel"/>
    <w:tmpl w:val="D812A1A0"/>
    <w:lvl w:ilvl="0" w:tplc="F1063D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D034B21"/>
    <w:multiLevelType w:val="hybridMultilevel"/>
    <w:tmpl w:val="55AC0158"/>
    <w:lvl w:ilvl="0" w:tplc="E754FDE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632AB4"/>
    <w:multiLevelType w:val="hybridMultilevel"/>
    <w:tmpl w:val="F3F00856"/>
    <w:lvl w:ilvl="0" w:tplc="546E50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F010C2"/>
    <w:multiLevelType w:val="hybridMultilevel"/>
    <w:tmpl w:val="3198165E"/>
    <w:lvl w:ilvl="0" w:tplc="91805922">
      <w:start w:val="1"/>
      <w:numFmt w:val="bullet"/>
      <w:lvlText w:val=""/>
      <w:lvlJc w:val="left"/>
      <w:pPr>
        <w:ind w:left="1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6">
    <w:nsid w:val="4C756C05"/>
    <w:multiLevelType w:val="hybridMultilevel"/>
    <w:tmpl w:val="8F6EFA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5C6A01"/>
    <w:multiLevelType w:val="hybridMultilevel"/>
    <w:tmpl w:val="301A9B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7C2BAD"/>
    <w:multiLevelType w:val="hybridMultilevel"/>
    <w:tmpl w:val="1ED08D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8F7C42"/>
    <w:multiLevelType w:val="hybridMultilevel"/>
    <w:tmpl w:val="B0A069E2"/>
    <w:lvl w:ilvl="0" w:tplc="7764C608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cs="Times New Roman"/>
      </w:rPr>
    </w:lvl>
  </w:abstractNum>
  <w:abstractNum w:abstractNumId="20">
    <w:nsid w:val="5AE13E39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F77A63"/>
    <w:multiLevelType w:val="hybridMultilevel"/>
    <w:tmpl w:val="E51A9C3C"/>
    <w:lvl w:ilvl="0" w:tplc="F0745CF0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2">
    <w:nsid w:val="5B0B6E54"/>
    <w:multiLevelType w:val="hybridMultilevel"/>
    <w:tmpl w:val="C4F8146A"/>
    <w:lvl w:ilvl="0" w:tplc="1F2E6D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63D0F4C"/>
    <w:multiLevelType w:val="hybridMultilevel"/>
    <w:tmpl w:val="A6EE8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A1ED4"/>
    <w:multiLevelType w:val="hybridMultilevel"/>
    <w:tmpl w:val="1B001B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666C93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64235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E340153"/>
    <w:multiLevelType w:val="hybridMultilevel"/>
    <w:tmpl w:val="D486B80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>
    <w:nsid w:val="7F565AC7"/>
    <w:multiLevelType w:val="hybridMultilevel"/>
    <w:tmpl w:val="21703CBC"/>
    <w:lvl w:ilvl="0" w:tplc="E49CDFD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7"/>
  </w:num>
  <w:num w:numId="5">
    <w:abstractNumId w:val="15"/>
  </w:num>
  <w:num w:numId="6">
    <w:abstractNumId w:val="13"/>
  </w:num>
  <w:num w:numId="7">
    <w:abstractNumId w:val="20"/>
  </w:num>
  <w:num w:numId="8">
    <w:abstractNumId w:val="8"/>
  </w:num>
  <w:num w:numId="9">
    <w:abstractNumId w:val="11"/>
  </w:num>
  <w:num w:numId="10">
    <w:abstractNumId w:val="1"/>
  </w:num>
  <w:num w:numId="11">
    <w:abstractNumId w:val="24"/>
  </w:num>
  <w:num w:numId="12">
    <w:abstractNumId w:val="2"/>
  </w:num>
  <w:num w:numId="13">
    <w:abstractNumId w:val="4"/>
  </w:num>
  <w:num w:numId="14">
    <w:abstractNumId w:val="22"/>
  </w:num>
  <w:num w:numId="15">
    <w:abstractNumId w:val="19"/>
  </w:num>
  <w:num w:numId="16">
    <w:abstractNumId w:val="14"/>
  </w:num>
  <w:num w:numId="17">
    <w:abstractNumId w:val="16"/>
  </w:num>
  <w:num w:numId="18">
    <w:abstractNumId w:val="25"/>
  </w:num>
  <w:num w:numId="19">
    <w:abstractNumId w:val="26"/>
  </w:num>
  <w:num w:numId="20">
    <w:abstractNumId w:val="5"/>
  </w:num>
  <w:num w:numId="21">
    <w:abstractNumId w:val="10"/>
  </w:num>
  <w:num w:numId="22">
    <w:abstractNumId w:val="0"/>
  </w:num>
  <w:num w:numId="23">
    <w:abstractNumId w:val="12"/>
  </w:num>
  <w:num w:numId="24">
    <w:abstractNumId w:val="3"/>
  </w:num>
  <w:num w:numId="25">
    <w:abstractNumId w:val="9"/>
  </w:num>
  <w:num w:numId="26">
    <w:abstractNumId w:val="23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46"/>
    <w:rsid w:val="00010A67"/>
    <w:rsid w:val="000469EF"/>
    <w:rsid w:val="00050AD9"/>
    <w:rsid w:val="00052BCF"/>
    <w:rsid w:val="00057988"/>
    <w:rsid w:val="00074DE7"/>
    <w:rsid w:val="00080C43"/>
    <w:rsid w:val="00084A55"/>
    <w:rsid w:val="00090716"/>
    <w:rsid w:val="000D7321"/>
    <w:rsid w:val="000D73E5"/>
    <w:rsid w:val="00110C1D"/>
    <w:rsid w:val="001132A1"/>
    <w:rsid w:val="001139EA"/>
    <w:rsid w:val="001849FD"/>
    <w:rsid w:val="0018743D"/>
    <w:rsid w:val="00190E86"/>
    <w:rsid w:val="0019490E"/>
    <w:rsid w:val="001A004A"/>
    <w:rsid w:val="001A2B90"/>
    <w:rsid w:val="001B3DF8"/>
    <w:rsid w:val="001D2AB4"/>
    <w:rsid w:val="001D4A70"/>
    <w:rsid w:val="001E550E"/>
    <w:rsid w:val="002043D7"/>
    <w:rsid w:val="00205267"/>
    <w:rsid w:val="00206B18"/>
    <w:rsid w:val="0021133A"/>
    <w:rsid w:val="00224F46"/>
    <w:rsid w:val="00236A7B"/>
    <w:rsid w:val="00256420"/>
    <w:rsid w:val="002838F2"/>
    <w:rsid w:val="002A572C"/>
    <w:rsid w:val="002D7AB8"/>
    <w:rsid w:val="002E1B54"/>
    <w:rsid w:val="002E7DBF"/>
    <w:rsid w:val="002F2E5E"/>
    <w:rsid w:val="002F502B"/>
    <w:rsid w:val="00315C24"/>
    <w:rsid w:val="0033101E"/>
    <w:rsid w:val="003346D3"/>
    <w:rsid w:val="00336025"/>
    <w:rsid w:val="003631D7"/>
    <w:rsid w:val="00393694"/>
    <w:rsid w:val="003A6D36"/>
    <w:rsid w:val="003B10B4"/>
    <w:rsid w:val="003B2C0D"/>
    <w:rsid w:val="003C716E"/>
    <w:rsid w:val="003D6D75"/>
    <w:rsid w:val="003F64D9"/>
    <w:rsid w:val="00400310"/>
    <w:rsid w:val="00401C02"/>
    <w:rsid w:val="00406EBD"/>
    <w:rsid w:val="004167CE"/>
    <w:rsid w:val="00422D42"/>
    <w:rsid w:val="0042400C"/>
    <w:rsid w:val="0042593A"/>
    <w:rsid w:val="004318A3"/>
    <w:rsid w:val="00437083"/>
    <w:rsid w:val="004376D0"/>
    <w:rsid w:val="00441C47"/>
    <w:rsid w:val="00451B56"/>
    <w:rsid w:val="004536DD"/>
    <w:rsid w:val="00460F70"/>
    <w:rsid w:val="00461AC6"/>
    <w:rsid w:val="00475451"/>
    <w:rsid w:val="00490DFE"/>
    <w:rsid w:val="00492CC5"/>
    <w:rsid w:val="00493AB2"/>
    <w:rsid w:val="004D04ED"/>
    <w:rsid w:val="004D2FDE"/>
    <w:rsid w:val="004D46AB"/>
    <w:rsid w:val="004D5ABD"/>
    <w:rsid w:val="004E0123"/>
    <w:rsid w:val="004E6FDF"/>
    <w:rsid w:val="00506DC1"/>
    <w:rsid w:val="0051372C"/>
    <w:rsid w:val="00514AFF"/>
    <w:rsid w:val="00521FFB"/>
    <w:rsid w:val="00527B77"/>
    <w:rsid w:val="00530317"/>
    <w:rsid w:val="005346CE"/>
    <w:rsid w:val="00534F90"/>
    <w:rsid w:val="0056630F"/>
    <w:rsid w:val="0058163A"/>
    <w:rsid w:val="005908BB"/>
    <w:rsid w:val="005956BC"/>
    <w:rsid w:val="005967FB"/>
    <w:rsid w:val="005A1409"/>
    <w:rsid w:val="005A1BBF"/>
    <w:rsid w:val="005B00CF"/>
    <w:rsid w:val="005B0E9B"/>
    <w:rsid w:val="005C5A35"/>
    <w:rsid w:val="005F1C52"/>
    <w:rsid w:val="00605E04"/>
    <w:rsid w:val="00617A5E"/>
    <w:rsid w:val="00652B8F"/>
    <w:rsid w:val="00673C0E"/>
    <w:rsid w:val="00685FB0"/>
    <w:rsid w:val="00697669"/>
    <w:rsid w:val="00697AC8"/>
    <w:rsid w:val="006D3162"/>
    <w:rsid w:val="006D7FCD"/>
    <w:rsid w:val="006E2380"/>
    <w:rsid w:val="006E5035"/>
    <w:rsid w:val="006F36EE"/>
    <w:rsid w:val="007004C0"/>
    <w:rsid w:val="0071703C"/>
    <w:rsid w:val="00723BF7"/>
    <w:rsid w:val="00727F1F"/>
    <w:rsid w:val="007459B4"/>
    <w:rsid w:val="00770763"/>
    <w:rsid w:val="00773CED"/>
    <w:rsid w:val="00774F59"/>
    <w:rsid w:val="007A5905"/>
    <w:rsid w:val="007B75C5"/>
    <w:rsid w:val="007C432F"/>
    <w:rsid w:val="007C48C6"/>
    <w:rsid w:val="007F6DDA"/>
    <w:rsid w:val="0080211D"/>
    <w:rsid w:val="00804085"/>
    <w:rsid w:val="0081517A"/>
    <w:rsid w:val="0084544A"/>
    <w:rsid w:val="008746F9"/>
    <w:rsid w:val="00875314"/>
    <w:rsid w:val="00880073"/>
    <w:rsid w:val="0089076A"/>
    <w:rsid w:val="008A6DF5"/>
    <w:rsid w:val="008B0DCB"/>
    <w:rsid w:val="008C221B"/>
    <w:rsid w:val="008C44EA"/>
    <w:rsid w:val="008C48DD"/>
    <w:rsid w:val="008C739A"/>
    <w:rsid w:val="008D692C"/>
    <w:rsid w:val="00902122"/>
    <w:rsid w:val="0091364E"/>
    <w:rsid w:val="00925EF2"/>
    <w:rsid w:val="0093246E"/>
    <w:rsid w:val="00943320"/>
    <w:rsid w:val="00945574"/>
    <w:rsid w:val="00950244"/>
    <w:rsid w:val="0095084A"/>
    <w:rsid w:val="00951C37"/>
    <w:rsid w:val="0096558B"/>
    <w:rsid w:val="0096794B"/>
    <w:rsid w:val="00980A1B"/>
    <w:rsid w:val="00985975"/>
    <w:rsid w:val="009A39E8"/>
    <w:rsid w:val="009A4F44"/>
    <w:rsid w:val="009A5658"/>
    <w:rsid w:val="009B221C"/>
    <w:rsid w:val="009F408A"/>
    <w:rsid w:val="00A05265"/>
    <w:rsid w:val="00A26E18"/>
    <w:rsid w:val="00A275E0"/>
    <w:rsid w:val="00A335BF"/>
    <w:rsid w:val="00A36410"/>
    <w:rsid w:val="00A60679"/>
    <w:rsid w:val="00AA3C32"/>
    <w:rsid w:val="00AB5822"/>
    <w:rsid w:val="00AC77DE"/>
    <w:rsid w:val="00AE01D3"/>
    <w:rsid w:val="00AE0E15"/>
    <w:rsid w:val="00B01661"/>
    <w:rsid w:val="00B15252"/>
    <w:rsid w:val="00B26A9B"/>
    <w:rsid w:val="00B343B2"/>
    <w:rsid w:val="00B402BA"/>
    <w:rsid w:val="00B70306"/>
    <w:rsid w:val="00B85166"/>
    <w:rsid w:val="00B91CAE"/>
    <w:rsid w:val="00BA09A0"/>
    <w:rsid w:val="00BA09E0"/>
    <w:rsid w:val="00BB190A"/>
    <w:rsid w:val="00BB6441"/>
    <w:rsid w:val="00BC2A61"/>
    <w:rsid w:val="00BD4954"/>
    <w:rsid w:val="00BD6CE2"/>
    <w:rsid w:val="00C02E54"/>
    <w:rsid w:val="00C03B1A"/>
    <w:rsid w:val="00C052CC"/>
    <w:rsid w:val="00C25B2B"/>
    <w:rsid w:val="00C42B25"/>
    <w:rsid w:val="00C70D3D"/>
    <w:rsid w:val="00C815DF"/>
    <w:rsid w:val="00C826CC"/>
    <w:rsid w:val="00C876AF"/>
    <w:rsid w:val="00C9314B"/>
    <w:rsid w:val="00C977C8"/>
    <w:rsid w:val="00CA27B9"/>
    <w:rsid w:val="00CA29A7"/>
    <w:rsid w:val="00CB4D28"/>
    <w:rsid w:val="00CC2D7C"/>
    <w:rsid w:val="00CC3C24"/>
    <w:rsid w:val="00CD20BE"/>
    <w:rsid w:val="00CD2B18"/>
    <w:rsid w:val="00CE48EE"/>
    <w:rsid w:val="00CE66D0"/>
    <w:rsid w:val="00CE6A12"/>
    <w:rsid w:val="00CF1BAD"/>
    <w:rsid w:val="00D03672"/>
    <w:rsid w:val="00D03916"/>
    <w:rsid w:val="00D31471"/>
    <w:rsid w:val="00D31732"/>
    <w:rsid w:val="00D546E5"/>
    <w:rsid w:val="00D727C0"/>
    <w:rsid w:val="00D73E72"/>
    <w:rsid w:val="00D82667"/>
    <w:rsid w:val="00D93091"/>
    <w:rsid w:val="00DE6B47"/>
    <w:rsid w:val="00E02752"/>
    <w:rsid w:val="00E02A6D"/>
    <w:rsid w:val="00E0667A"/>
    <w:rsid w:val="00E10BB1"/>
    <w:rsid w:val="00E12B44"/>
    <w:rsid w:val="00E32D49"/>
    <w:rsid w:val="00E3388A"/>
    <w:rsid w:val="00E37ADA"/>
    <w:rsid w:val="00E668B3"/>
    <w:rsid w:val="00E74C03"/>
    <w:rsid w:val="00E837D2"/>
    <w:rsid w:val="00E84D33"/>
    <w:rsid w:val="00EA0C4A"/>
    <w:rsid w:val="00EA341A"/>
    <w:rsid w:val="00EA5EA8"/>
    <w:rsid w:val="00EB4376"/>
    <w:rsid w:val="00EC44EA"/>
    <w:rsid w:val="00ED2F85"/>
    <w:rsid w:val="00ED3211"/>
    <w:rsid w:val="00ED53D9"/>
    <w:rsid w:val="00ED660B"/>
    <w:rsid w:val="00ED7468"/>
    <w:rsid w:val="00EF0EF2"/>
    <w:rsid w:val="00F27586"/>
    <w:rsid w:val="00F40833"/>
    <w:rsid w:val="00F4403A"/>
    <w:rsid w:val="00F462EA"/>
    <w:rsid w:val="00F5721A"/>
    <w:rsid w:val="00F65EBF"/>
    <w:rsid w:val="00F71F29"/>
    <w:rsid w:val="00F85647"/>
    <w:rsid w:val="00F92DB2"/>
    <w:rsid w:val="00F970C8"/>
    <w:rsid w:val="00FA6676"/>
    <w:rsid w:val="00FB45AD"/>
    <w:rsid w:val="00FB56A6"/>
    <w:rsid w:val="00FC08ED"/>
    <w:rsid w:val="00FC426D"/>
    <w:rsid w:val="00FE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33602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B56A6"/>
    <w:rPr>
      <w:vertAlign w:val="superscript"/>
    </w:rPr>
  </w:style>
  <w:style w:type="character" w:styleId="Hipercze">
    <w:name w:val="Hyperlink"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30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30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3091"/>
    <w:rPr>
      <w:vertAlign w:val="superscript"/>
    </w:rPr>
  </w:style>
  <w:style w:type="paragraph" w:styleId="Poprawka">
    <w:name w:val="Revision"/>
    <w:hidden/>
    <w:uiPriority w:val="99"/>
    <w:semiHidden/>
    <w:rsid w:val="001A2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A39E8"/>
  </w:style>
  <w:style w:type="character" w:customStyle="1" w:styleId="Nagwek6Znak">
    <w:name w:val="Nagłówek 6 Znak"/>
    <w:basedOn w:val="Domylnaczcionkaakapitu"/>
    <w:link w:val="Nagwek6"/>
    <w:uiPriority w:val="9"/>
    <w:rsid w:val="00336025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styleId="Pogrubienie">
    <w:name w:val="Strong"/>
    <w:basedOn w:val="Domylnaczcionkaakapitu"/>
    <w:uiPriority w:val="22"/>
    <w:qFormat/>
    <w:rsid w:val="0033602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33602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B56A6"/>
    <w:rPr>
      <w:vertAlign w:val="superscript"/>
    </w:rPr>
  </w:style>
  <w:style w:type="character" w:styleId="Hipercze">
    <w:name w:val="Hyperlink"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30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30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3091"/>
    <w:rPr>
      <w:vertAlign w:val="superscript"/>
    </w:rPr>
  </w:style>
  <w:style w:type="paragraph" w:styleId="Poprawka">
    <w:name w:val="Revision"/>
    <w:hidden/>
    <w:uiPriority w:val="99"/>
    <w:semiHidden/>
    <w:rsid w:val="001A2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A39E8"/>
  </w:style>
  <w:style w:type="character" w:customStyle="1" w:styleId="Nagwek6Znak">
    <w:name w:val="Nagłówek 6 Znak"/>
    <w:basedOn w:val="Domylnaczcionkaakapitu"/>
    <w:link w:val="Nagwek6"/>
    <w:uiPriority w:val="9"/>
    <w:rsid w:val="00336025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styleId="Pogrubienie">
    <w:name w:val="Strong"/>
    <w:basedOn w:val="Domylnaczcionkaakapitu"/>
    <w:uiPriority w:val="22"/>
    <w:qFormat/>
    <w:rsid w:val="003360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6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5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nfz.gov.pl/zarzadzenia-prezesa/zarzadzenia-prezesa-nfz/zarzadzenie-nr-162018dsm,673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A7F1F-DEA3-41FA-8BF7-ED9B037BF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Kiełek Małgorzata</dc:creator>
  <cp:lastModifiedBy>Grzybowski Paweł</cp:lastModifiedBy>
  <cp:revision>12</cp:revision>
  <cp:lastPrinted>2019-07-26T08:23:00Z</cp:lastPrinted>
  <dcterms:created xsi:type="dcterms:W3CDTF">2019-06-25T11:52:00Z</dcterms:created>
  <dcterms:modified xsi:type="dcterms:W3CDTF">2019-07-26T08:23:00Z</dcterms:modified>
</cp:coreProperties>
</file>