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Default="0021462D" w:rsidP="00B15060">
      <w:pPr>
        <w:spacing w:before="120" w:after="0"/>
        <w:jc w:val="both"/>
      </w:pPr>
      <w:bookmarkStart w:id="0" w:name="_GoBack"/>
      <w:bookmarkEnd w:id="0"/>
      <w:r>
        <w:t xml:space="preserve">Spis załączników do Zarządzenia </w:t>
      </w:r>
      <w:r w:rsidR="00E716EA">
        <w:rPr>
          <w:b/>
        </w:rPr>
        <w:t>Nr 75</w:t>
      </w:r>
      <w:r>
        <w:rPr>
          <w:b/>
        </w:rPr>
        <w:t>/201</w:t>
      </w:r>
      <w:r w:rsidR="006B43D5">
        <w:rPr>
          <w:b/>
        </w:rPr>
        <w:t>8</w:t>
      </w:r>
      <w:r>
        <w:rPr>
          <w:b/>
        </w:rPr>
        <w:t>/DGL</w:t>
      </w:r>
      <w:r>
        <w:t xml:space="preserve"> Prezesa Narodowego Funduszu Zdrowia </w:t>
      </w:r>
      <w:r w:rsidR="003C6A83">
        <w:br/>
      </w:r>
      <w:r>
        <w:t>z dnia</w:t>
      </w:r>
      <w:r w:rsidR="006B43D5">
        <w:t xml:space="preserve"> </w:t>
      </w:r>
      <w:r w:rsidR="00F13297">
        <w:t xml:space="preserve">31 </w:t>
      </w:r>
      <w:r w:rsidR="006B43D5">
        <w:t>lipca</w:t>
      </w:r>
      <w:r w:rsidRPr="00C87DE8">
        <w:t xml:space="preserve"> </w:t>
      </w:r>
      <w:r>
        <w:t>201</w:t>
      </w:r>
      <w:r w:rsidR="006B43D5">
        <w:t>8</w:t>
      </w:r>
      <w:r>
        <w:t xml:space="preserve"> r. </w:t>
      </w:r>
      <w:r w:rsidRPr="0027632F">
        <w:t>w sprawie określenia warunków zawierania i realizacji umów w</w:t>
      </w:r>
      <w:r w:rsidR="003C6A83">
        <w:t> </w:t>
      </w:r>
      <w:r w:rsidRPr="0027632F">
        <w:t>rodzaju leczenie szpitalne w zakresie programy lekowe</w:t>
      </w:r>
      <w:r>
        <w:t>: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1k</w:t>
      </w:r>
      <w:r w:rsidRPr="00D620C7">
        <w:rPr>
          <w:rFonts w:eastAsia="Times New Roman"/>
          <w:color w:val="000000"/>
          <w:lang w:eastAsia="pl-PL"/>
        </w:rPr>
        <w:t> – Katalog świadczeń i zakresów – leczenie szpitalne – programy lekowe.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1l</w:t>
      </w:r>
      <w:r w:rsidRPr="00D620C7">
        <w:rPr>
          <w:rFonts w:eastAsia="Times New Roman"/>
          <w:color w:val="000000"/>
          <w:lang w:eastAsia="pl-PL"/>
        </w:rPr>
        <w:t> – Katalog ryczałtów za diagnostykę w programach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1m</w:t>
      </w:r>
      <w:r w:rsidRPr="00D620C7">
        <w:rPr>
          <w:rFonts w:eastAsia="Times New Roman"/>
          <w:color w:val="000000"/>
          <w:lang w:eastAsia="pl-PL"/>
        </w:rPr>
        <w:t xml:space="preserve"> – Katalog leków refundowanych stosowanych w programach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– Umowa o udzielanie świadczeń opieki zdrowotnej</w:t>
      </w:r>
      <w:r w:rsidRPr="006301C7">
        <w:rPr>
          <w:b/>
          <w:bCs/>
          <w:szCs w:val="24"/>
        </w:rPr>
        <w:t xml:space="preserve">- </w:t>
      </w:r>
      <w:r w:rsidRPr="00AE71A7">
        <w:rPr>
          <w:rFonts w:eastAsia="Times New Roman"/>
          <w:color w:val="000000"/>
          <w:lang w:eastAsia="pl-PL"/>
        </w:rPr>
        <w:t>leczenie szpitalne - programy lekowe</w:t>
      </w:r>
      <w:r w:rsidRPr="00D620C7">
        <w:rPr>
          <w:rFonts w:eastAsia="Times New Roman"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3</w:t>
      </w:r>
      <w:r w:rsidRPr="00D620C7">
        <w:rPr>
          <w:rFonts w:eastAsia="Times New Roman"/>
          <w:color w:val="000000"/>
          <w:lang w:eastAsia="pl-PL"/>
        </w:rPr>
        <w:t> – Wymagania wobec świadczeniodawców udzielających świadczeń z zakresu programów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4</w:t>
      </w:r>
      <w:r w:rsidRPr="00D620C7">
        <w:rPr>
          <w:rFonts w:eastAsia="Times New Roman"/>
          <w:color w:val="000000"/>
          <w:lang w:eastAsia="pl-PL"/>
        </w:rPr>
        <w:t> – Wykaz programów lekowych</w:t>
      </w:r>
      <w:r w:rsidR="00414411">
        <w:rPr>
          <w:rFonts w:eastAsia="Times New Roman"/>
          <w:color w:val="000000"/>
          <w:lang w:eastAsia="pl-PL"/>
        </w:rPr>
        <w:t>.</w:t>
      </w:r>
    </w:p>
    <w:p w:rsidR="006002C4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6002C4">
        <w:rPr>
          <w:rFonts w:eastAsia="Times New Roman"/>
          <w:b/>
          <w:color w:val="000000"/>
          <w:lang w:eastAsia="pl-PL"/>
        </w:rPr>
        <w:t>5</w:t>
      </w:r>
      <w:r>
        <w:rPr>
          <w:rFonts w:eastAsia="Times New Roman"/>
          <w:color w:val="000000"/>
          <w:lang w:eastAsia="pl-PL"/>
        </w:rPr>
        <w:t xml:space="preserve"> </w:t>
      </w:r>
      <w:r w:rsidRPr="006002C4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Katalog współczynników korygujących</w:t>
      </w:r>
      <w:r w:rsidR="008B19F8">
        <w:rPr>
          <w:rFonts w:eastAsia="Times New Roman"/>
          <w:color w:val="000000"/>
          <w:lang w:eastAsia="pl-PL"/>
        </w:rPr>
        <w:t xml:space="preserve"> stosowanych w programach lekowych</w:t>
      </w:r>
      <w:r>
        <w:rPr>
          <w:rFonts w:eastAsia="Times New Roman"/>
          <w:color w:val="000000"/>
          <w:lang w:eastAsia="pl-PL"/>
        </w:rPr>
        <w:t>.</w:t>
      </w:r>
    </w:p>
    <w:p w:rsidR="009830E9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6</w:t>
      </w:r>
      <w:r w:rsidR="009830E9" w:rsidRPr="00D620C7">
        <w:rPr>
          <w:rFonts w:eastAsia="Times New Roman"/>
          <w:color w:val="000000"/>
          <w:lang w:eastAsia="pl-PL"/>
        </w:rPr>
        <w:t> – </w:t>
      </w:r>
      <w:r w:rsidR="0009022B">
        <w:rPr>
          <w:rFonts w:eastAsia="Times New Roman"/>
          <w:color w:val="000000"/>
          <w:lang w:eastAsia="pl-PL"/>
        </w:rPr>
        <w:t xml:space="preserve">Karta </w:t>
      </w:r>
      <w:r w:rsidR="008D3E6A">
        <w:rPr>
          <w:rFonts w:eastAsia="Times New Roman"/>
          <w:color w:val="000000"/>
          <w:lang w:eastAsia="pl-PL"/>
        </w:rPr>
        <w:t>wydania leku</w:t>
      </w:r>
      <w:r w:rsidR="009830E9">
        <w:rPr>
          <w:rFonts w:eastAsia="Times New Roman"/>
          <w:color w:val="000000"/>
          <w:lang w:eastAsia="pl-PL"/>
        </w:rPr>
        <w:t xml:space="preserve">. </w:t>
      </w:r>
    </w:p>
    <w:p w:rsidR="006B43D5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B15060">
        <w:rPr>
          <w:rFonts w:eastAsia="Times New Roman"/>
          <w:b/>
          <w:color w:val="000000"/>
          <w:lang w:eastAsia="pl-PL"/>
        </w:rPr>
        <w:t>7</w:t>
      </w:r>
      <w:r w:rsidR="006B43D5">
        <w:rPr>
          <w:rFonts w:eastAsia="Times New Roman"/>
          <w:color w:val="000000"/>
          <w:lang w:eastAsia="pl-PL"/>
        </w:rPr>
        <w:t xml:space="preserve"> </w:t>
      </w:r>
      <w:r w:rsidR="006B43D5" w:rsidRPr="00D620C7">
        <w:rPr>
          <w:rFonts w:eastAsia="Times New Roman"/>
          <w:color w:val="000000"/>
          <w:lang w:eastAsia="pl-PL"/>
        </w:rPr>
        <w:t>–</w:t>
      </w:r>
      <w:r w:rsidR="006B43D5">
        <w:rPr>
          <w:rFonts w:eastAsia="Times New Roman"/>
          <w:color w:val="000000"/>
          <w:lang w:eastAsia="pl-PL"/>
        </w:rPr>
        <w:t xml:space="preserve"> </w:t>
      </w:r>
      <w:r w:rsidR="005502A3">
        <w:rPr>
          <w:rFonts w:eastAsia="Times New Roman"/>
          <w:color w:val="000000"/>
          <w:lang w:eastAsia="pl-PL"/>
        </w:rPr>
        <w:t>K</w:t>
      </w:r>
      <w:r w:rsidR="005502A3" w:rsidRPr="0083452A">
        <w:rPr>
          <w:rFonts w:eastAsia="Times New Roman"/>
          <w:color w:val="000000"/>
          <w:lang w:eastAsia="pl-PL"/>
        </w:rPr>
        <w:t xml:space="preserve">arta włączenia </w:t>
      </w:r>
      <w:r w:rsidR="008B19F8">
        <w:rPr>
          <w:rFonts w:eastAsia="Times New Roman"/>
          <w:color w:val="000000"/>
          <w:lang w:eastAsia="pl-PL"/>
        </w:rPr>
        <w:t xml:space="preserve">świadczeniobiorcy </w:t>
      </w:r>
      <w:r w:rsidR="005502A3" w:rsidRPr="0083452A">
        <w:rPr>
          <w:rFonts w:eastAsia="Times New Roman"/>
          <w:color w:val="000000"/>
          <w:lang w:eastAsia="pl-PL"/>
        </w:rPr>
        <w:t>do programu lekowego</w:t>
      </w:r>
      <w:r w:rsidR="005502A3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8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biologicznego w chorobach reumatycznych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9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chorób ultrarzadkich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ascii="Calibri" w:hAnsi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10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umiarkowanej i ciężkiej postaci łuszczycy plackowatej oraz weryfikację jego skuteczności</w:t>
      </w:r>
      <w:r w:rsidR="009B4AA9">
        <w:rPr>
          <w:rFonts w:ascii="Calibri" w:hAnsi="Calibri" w:cs="Arial"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bCs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1</w:t>
      </w:r>
      <w:r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neowaskularnej (wysiękowej) postaci zwyrodnienia plamki związanego z wiekiem (AMD) oraz weryfikację jego efektów</w:t>
      </w:r>
      <w:r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</w:t>
      </w:r>
      <w:r w:rsidR="005502A3" w:rsidRPr="00D620C7">
        <w:rPr>
          <w:rFonts w:eastAsia="Times New Roman"/>
          <w:color w:val="000000"/>
          <w:lang w:eastAsia="pl-PL"/>
        </w:rPr>
        <w:t>–</w:t>
      </w:r>
      <w:r w:rsidR="005502A3">
        <w:rPr>
          <w:rFonts w:eastAsia="Times New Roman"/>
          <w:color w:val="000000"/>
          <w:lang w:eastAsia="pl-PL"/>
        </w:rPr>
        <w:t xml:space="preserve">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aktywnej postaci ziarniniakowatości z zapaleniem naczyń (GPA) lub mikroskopowego zapalenia naczyń (MPA) oraz weryfikację jego skuteczności</w:t>
      </w:r>
      <w:r w:rsidRPr="00CA2B9E"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4</w:t>
      </w:r>
      <w:r w:rsidRPr="00D73DFD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color w:val="000000"/>
          <w:lang w:eastAsia="pl-PL"/>
        </w:rPr>
        <w:t xml:space="preserve">–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zaburzeń motorycznych w przebiegu zaawansowanej choroby Parkinsona oraz weryfikację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.</w:t>
      </w:r>
    </w:p>
    <w:p w:rsidR="00756971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15</w:t>
      </w:r>
      <w:r w:rsidR="002F0E1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 xml:space="preserve">Zakres działania </w:t>
      </w:r>
      <w:r w:rsidR="00467D25">
        <w:rPr>
          <w:rFonts w:eastAsia="Times New Roman"/>
          <w:color w:val="000000"/>
          <w:lang w:eastAsia="pl-PL"/>
        </w:rPr>
        <w:t>z</w:t>
      </w:r>
      <w:r w:rsidR="00467D25" w:rsidRPr="00467D25">
        <w:rPr>
          <w:rFonts w:eastAsia="Times New Roman"/>
          <w:color w:val="000000"/>
          <w:lang w:eastAsia="pl-PL"/>
        </w:rPr>
        <w:t xml:space="preserve">espołu </w:t>
      </w:r>
      <w:r w:rsidR="00467D25">
        <w:rPr>
          <w:rFonts w:eastAsia="Times New Roman"/>
          <w:color w:val="000000"/>
          <w:lang w:eastAsia="pl-PL"/>
        </w:rPr>
        <w:t>k</w:t>
      </w:r>
      <w:r w:rsidR="00467D25" w:rsidRPr="00467D25">
        <w:rPr>
          <w:rFonts w:eastAsia="Times New Roman"/>
          <w:color w:val="000000"/>
          <w:lang w:eastAsia="pl-PL"/>
        </w:rPr>
        <w:t>oordynacyjnego odpowiedzialnego za kwalifikację do leczenia hormonem wzrostu lub insulinopodobnym czynnikiem wzrostu-1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756971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16</w:t>
      </w:r>
      <w:r w:rsidRPr="00D620C7">
        <w:rPr>
          <w:rFonts w:eastAsia="Times New Roman"/>
          <w:color w:val="000000"/>
          <w:lang w:eastAsia="pl-PL"/>
        </w:rPr>
        <w:t> </w:t>
      </w:r>
      <w:r w:rsidR="00756971" w:rsidRPr="00D620C7">
        <w:rPr>
          <w:rFonts w:eastAsia="Times New Roman"/>
          <w:color w:val="000000"/>
          <w:lang w:eastAsia="pl-PL"/>
        </w:rPr>
        <w:t>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programu zapobiegania krwawieniom u dzieci z hemofilią A i B oraz weryfikację jego efektów</w:t>
      </w:r>
      <w:r w:rsidR="00756971" w:rsidRPr="0035106F">
        <w:rPr>
          <w:rFonts w:eastAsia="Calibri" w:cs="Arial"/>
          <w:color w:val="000000"/>
          <w:lang w:eastAsia="pl-PL"/>
        </w:rPr>
        <w:t>.</w:t>
      </w:r>
    </w:p>
    <w:p w:rsidR="00671C35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Calibri" w:cs="Arial"/>
          <w:b/>
          <w:color w:val="000000"/>
          <w:lang w:eastAsia="pl-PL"/>
        </w:rPr>
        <w:t>17</w:t>
      </w:r>
      <w:r w:rsidR="00671C35">
        <w:rPr>
          <w:rFonts w:eastAsia="Calibri" w:cs="Arial"/>
          <w:color w:val="000000"/>
          <w:lang w:eastAsia="pl-PL"/>
        </w:rPr>
        <w:t xml:space="preserve">- </w:t>
      </w:r>
      <w:r w:rsidR="00467D25" w:rsidRPr="00467D25">
        <w:rPr>
          <w:rFonts w:eastAsia="Calibri" w:cs="Arial"/>
          <w:color w:val="000000"/>
          <w:lang w:eastAsia="pl-PL"/>
        </w:rPr>
        <w:t>Zakres działania zespołu koordynacyjnego odpowiedzialnego za kwalifikację do leczenia atypowego zespołu hemolityczno-mocznicowego (aHUS) oraz weryfikację jego skuteczności</w:t>
      </w:r>
      <w:r w:rsidR="00467D25">
        <w:rPr>
          <w:rFonts w:eastAsia="Calibri" w:cs="Arial"/>
          <w:color w:val="000000"/>
          <w:lang w:eastAsia="pl-PL"/>
        </w:rPr>
        <w:t>.</w:t>
      </w:r>
    </w:p>
    <w:p w:rsidR="00671C35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18</w:t>
      </w:r>
      <w:r>
        <w:rPr>
          <w:rFonts w:eastAsia="Times New Roman"/>
          <w:color w:val="000000"/>
          <w:lang w:eastAsia="pl-PL"/>
        </w:rPr>
        <w:t xml:space="preserve"> </w:t>
      </w:r>
      <w:r w:rsidR="00671C35" w:rsidRPr="002722C1">
        <w:rPr>
          <w:rFonts w:eastAsia="Times New Roman"/>
          <w:bCs/>
          <w:color w:val="000000"/>
          <w:lang w:eastAsia="pl-PL"/>
        </w:rPr>
        <w:t>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nocnej napadowej hemoglobinurii (PNH) 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1518AE" w:rsidRPr="0033316A" w:rsidRDefault="001518AE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33316A">
        <w:rPr>
          <w:rFonts w:eastAsia="Times New Roman"/>
          <w:b/>
          <w:color w:val="000000"/>
          <w:lang w:eastAsia="pl-PL"/>
        </w:rPr>
        <w:t>19</w:t>
      </w:r>
      <w:r w:rsidRPr="0033316A">
        <w:rPr>
          <w:rFonts w:eastAsia="Times New Roman"/>
          <w:color w:val="000000"/>
          <w:lang w:eastAsia="pl-PL"/>
        </w:rPr>
        <w:t xml:space="preserve"> </w:t>
      </w:r>
      <w:r w:rsidR="005D7536" w:rsidRPr="0033316A">
        <w:rPr>
          <w:rFonts w:eastAsia="Times New Roman"/>
          <w:color w:val="000000"/>
          <w:lang w:eastAsia="pl-PL"/>
        </w:rPr>
        <w:t>–</w:t>
      </w:r>
      <w:r w:rsidRPr="0033316A">
        <w:rPr>
          <w:rFonts w:eastAsia="Times New Roman"/>
          <w:color w:val="000000"/>
          <w:lang w:eastAsia="pl-PL"/>
        </w:rPr>
        <w:t xml:space="preserve"> Zakres działania zespołu koordynacyjnego odpowiedzialnego za kwalifikację do leczenia rdzeniowego zaniku mięśni oraz weryfikację jego skuteczności.</w:t>
      </w:r>
    </w:p>
    <w:p w:rsidR="00912AA7" w:rsidRPr="0033316A" w:rsidRDefault="00912AA7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33316A">
        <w:rPr>
          <w:rFonts w:eastAsia="Times New Roman"/>
          <w:b/>
          <w:color w:val="000000"/>
          <w:lang w:eastAsia="pl-PL"/>
        </w:rPr>
        <w:t>20</w:t>
      </w:r>
      <w:r w:rsidRPr="0033316A">
        <w:rPr>
          <w:rFonts w:eastAsia="Times New Roman"/>
          <w:color w:val="000000"/>
          <w:lang w:eastAsia="pl-PL"/>
        </w:rPr>
        <w:t xml:space="preserve"> - Zakres działania zespołu koordynacyjnego odpowiedzialnego za kwalifikację do leczenia chorych na zaawansowanego raka podstawnokomórkowego skóry wismodegibem oraz weryfikację jego skuteczności.</w:t>
      </w:r>
    </w:p>
    <w:sectPr w:rsidR="00912AA7" w:rsidRPr="0033316A" w:rsidSect="00BF64EB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9022B"/>
    <w:rsid w:val="000E2C06"/>
    <w:rsid w:val="001518AE"/>
    <w:rsid w:val="00194ED1"/>
    <w:rsid w:val="001A1020"/>
    <w:rsid w:val="0021462D"/>
    <w:rsid w:val="002F0BB3"/>
    <w:rsid w:val="002F0E17"/>
    <w:rsid w:val="0033316A"/>
    <w:rsid w:val="00383B94"/>
    <w:rsid w:val="003B3247"/>
    <w:rsid w:val="003C6A83"/>
    <w:rsid w:val="00414411"/>
    <w:rsid w:val="00467D25"/>
    <w:rsid w:val="004E1268"/>
    <w:rsid w:val="005502A3"/>
    <w:rsid w:val="00577DF5"/>
    <w:rsid w:val="005D7536"/>
    <w:rsid w:val="005F25D7"/>
    <w:rsid w:val="006002C4"/>
    <w:rsid w:val="00671C35"/>
    <w:rsid w:val="006B43D5"/>
    <w:rsid w:val="006C0673"/>
    <w:rsid w:val="00756971"/>
    <w:rsid w:val="007A31B2"/>
    <w:rsid w:val="0083452A"/>
    <w:rsid w:val="0085010E"/>
    <w:rsid w:val="008B19F8"/>
    <w:rsid w:val="008D0AA1"/>
    <w:rsid w:val="008D3E6A"/>
    <w:rsid w:val="008E02A9"/>
    <w:rsid w:val="00912AA7"/>
    <w:rsid w:val="009830E9"/>
    <w:rsid w:val="009B4AA9"/>
    <w:rsid w:val="009D3385"/>
    <w:rsid w:val="00A7686C"/>
    <w:rsid w:val="00AE15C1"/>
    <w:rsid w:val="00B15060"/>
    <w:rsid w:val="00BC70C3"/>
    <w:rsid w:val="00BF64EB"/>
    <w:rsid w:val="00CA00BC"/>
    <w:rsid w:val="00CC6CAD"/>
    <w:rsid w:val="00D26E63"/>
    <w:rsid w:val="00D4511B"/>
    <w:rsid w:val="00E14D2F"/>
    <w:rsid w:val="00E32647"/>
    <w:rsid w:val="00E716EA"/>
    <w:rsid w:val="00ED7118"/>
    <w:rsid w:val="00F13297"/>
    <w:rsid w:val="00F57A79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Żmuda Krzysztof</cp:lastModifiedBy>
  <cp:revision>12</cp:revision>
  <cp:lastPrinted>2018-06-29T08:16:00Z</cp:lastPrinted>
  <dcterms:created xsi:type="dcterms:W3CDTF">2018-07-31T13:32:00Z</dcterms:created>
  <dcterms:modified xsi:type="dcterms:W3CDTF">2019-03-13T13:20:00Z</dcterms:modified>
</cp:coreProperties>
</file>