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9" w:rsidRPr="007F60E6" w:rsidRDefault="000B5885" w:rsidP="007F60E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Uzasadnienie</w:t>
      </w:r>
    </w:p>
    <w:p w:rsidR="007F60E6" w:rsidRPr="00F52156" w:rsidRDefault="007F60E6" w:rsidP="00552AAC">
      <w:pPr>
        <w:jc w:val="both"/>
        <w:rPr>
          <w:rFonts w:ascii="Arial" w:hAnsi="Arial" w:cs="Arial"/>
        </w:rPr>
      </w:pPr>
    </w:p>
    <w:p w:rsidR="002A73C2" w:rsidRDefault="002A73C2" w:rsidP="00552AAC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A73C2">
        <w:rPr>
          <w:rFonts w:ascii="Arial" w:hAnsi="Arial" w:cs="Arial"/>
          <w:sz w:val="24"/>
          <w:szCs w:val="24"/>
        </w:rPr>
        <w:t>Zarządzenie stanowi realizację upoważnienia ustawowego zawartego w</w:t>
      </w:r>
      <w:r w:rsidR="00B20D45">
        <w:rPr>
          <w:rFonts w:ascii="Arial" w:hAnsi="Arial" w:cs="Arial"/>
          <w:sz w:val="24"/>
          <w:szCs w:val="24"/>
        </w:rPr>
        <w:t> </w:t>
      </w:r>
      <w:r w:rsidRPr="002A73C2">
        <w:rPr>
          <w:rFonts w:ascii="Arial" w:hAnsi="Arial" w:cs="Arial"/>
          <w:sz w:val="24"/>
          <w:szCs w:val="24"/>
        </w:rPr>
        <w:t>art.</w:t>
      </w:r>
      <w:r w:rsidR="00B20D45">
        <w:rPr>
          <w:rFonts w:ascii="Arial" w:hAnsi="Arial" w:cs="Arial"/>
          <w:sz w:val="24"/>
          <w:szCs w:val="24"/>
        </w:rPr>
        <w:t> </w:t>
      </w:r>
      <w:r w:rsidRPr="002A73C2">
        <w:rPr>
          <w:rFonts w:ascii="Arial" w:hAnsi="Arial" w:cs="Arial"/>
          <w:sz w:val="24"/>
          <w:szCs w:val="24"/>
        </w:rPr>
        <w:t>146</w:t>
      </w:r>
      <w:r w:rsidR="00141A5B">
        <w:rPr>
          <w:rFonts w:ascii="Arial" w:hAnsi="Arial" w:cs="Arial"/>
          <w:sz w:val="24"/>
          <w:szCs w:val="24"/>
        </w:rPr>
        <w:t xml:space="preserve"> ust. 1</w:t>
      </w:r>
      <w:r w:rsidRPr="002A73C2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publicznych (Dz. U. z 201</w:t>
      </w:r>
      <w:r w:rsidR="00141A5B">
        <w:rPr>
          <w:rFonts w:ascii="Arial" w:hAnsi="Arial" w:cs="Arial"/>
          <w:sz w:val="24"/>
          <w:szCs w:val="24"/>
        </w:rPr>
        <w:t>7</w:t>
      </w:r>
      <w:r w:rsidRPr="002A73C2">
        <w:rPr>
          <w:rFonts w:ascii="Arial" w:hAnsi="Arial" w:cs="Arial"/>
          <w:sz w:val="24"/>
          <w:szCs w:val="24"/>
        </w:rPr>
        <w:t xml:space="preserve"> r. poz. </w:t>
      </w:r>
      <w:r w:rsidR="00141A5B">
        <w:rPr>
          <w:rFonts w:ascii="Arial" w:hAnsi="Arial" w:cs="Arial"/>
          <w:sz w:val="24"/>
          <w:szCs w:val="24"/>
        </w:rPr>
        <w:t>1938</w:t>
      </w:r>
      <w:r w:rsidRPr="002A73C2">
        <w:rPr>
          <w:rFonts w:ascii="Arial" w:hAnsi="Arial" w:cs="Arial"/>
          <w:sz w:val="24"/>
          <w:szCs w:val="24"/>
        </w:rPr>
        <w:t xml:space="preserve">, z późn. zm.) </w:t>
      </w:r>
      <w:r w:rsidR="00141A5B" w:rsidRPr="00141A5B">
        <w:rPr>
          <w:rFonts w:ascii="Arial" w:hAnsi="Arial" w:cs="Arial"/>
          <w:sz w:val="24"/>
          <w:szCs w:val="24"/>
        </w:rPr>
        <w:t>zwanej dalej „ustawą o świadczeniach”</w:t>
      </w:r>
      <w:r w:rsidR="008668A2">
        <w:rPr>
          <w:rFonts w:ascii="Arial" w:hAnsi="Arial" w:cs="Arial"/>
          <w:sz w:val="24"/>
          <w:szCs w:val="24"/>
        </w:rPr>
        <w:t>,</w:t>
      </w:r>
      <w:r w:rsidR="00141A5B" w:rsidRPr="00141A5B">
        <w:rPr>
          <w:rFonts w:ascii="Arial" w:hAnsi="Arial" w:cs="Arial"/>
          <w:sz w:val="24"/>
          <w:szCs w:val="24"/>
        </w:rPr>
        <w:t xml:space="preserve"> na mocy którego Prezes Narodowego Funduszu Zdrowia zobowiązany jest do określenia przedmiotu postępowania w</w:t>
      </w:r>
      <w:r w:rsidR="00AD549B">
        <w:rPr>
          <w:rFonts w:ascii="Arial" w:hAnsi="Arial" w:cs="Arial"/>
          <w:sz w:val="24"/>
          <w:szCs w:val="24"/>
        </w:rPr>
        <w:t> </w:t>
      </w:r>
      <w:r w:rsidR="00141A5B" w:rsidRPr="00141A5B">
        <w:rPr>
          <w:rFonts w:ascii="Arial" w:hAnsi="Arial" w:cs="Arial"/>
          <w:sz w:val="24"/>
          <w:szCs w:val="24"/>
        </w:rPr>
        <w:t xml:space="preserve">sprawie zawarcia umowy o udzielanie świadczeń opieki zdrowotnej oraz szczegółowych warunków umów o udzielanie świadczeń opieki zdrowotnej w rodzaju leczenie szpitalne w zakresie </w:t>
      </w:r>
      <w:r w:rsidR="00FC454A">
        <w:rPr>
          <w:rFonts w:ascii="Arial" w:hAnsi="Arial" w:cs="Arial"/>
          <w:sz w:val="24"/>
          <w:szCs w:val="24"/>
        </w:rPr>
        <w:t>programy lekowe</w:t>
      </w:r>
      <w:r w:rsidR="00141A5B">
        <w:rPr>
          <w:rFonts w:ascii="Arial" w:hAnsi="Arial" w:cs="Arial"/>
          <w:sz w:val="24"/>
          <w:szCs w:val="24"/>
        </w:rPr>
        <w:t>.</w:t>
      </w:r>
    </w:p>
    <w:p w:rsidR="00141A5B" w:rsidRDefault="00141A5B" w:rsidP="00552AAC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141A5B">
        <w:rPr>
          <w:rFonts w:ascii="Arial" w:hAnsi="Arial" w:cs="Arial"/>
          <w:sz w:val="24"/>
          <w:szCs w:val="24"/>
        </w:rPr>
        <w:t xml:space="preserve">ając na uwadze liczne zmiany dotychczas obowiązującego zarządzenia </w:t>
      </w:r>
      <w:r w:rsidR="00FC454A" w:rsidRPr="00FC454A">
        <w:rPr>
          <w:rFonts w:ascii="Arial" w:hAnsi="Arial" w:cs="Arial"/>
          <w:sz w:val="24"/>
          <w:szCs w:val="24"/>
        </w:rPr>
        <w:t>Nr</w:t>
      </w:r>
      <w:r w:rsidR="00FC454A">
        <w:rPr>
          <w:rFonts w:ascii="Arial" w:hAnsi="Arial" w:cs="Arial"/>
          <w:sz w:val="24"/>
          <w:szCs w:val="24"/>
        </w:rPr>
        <w:t> </w:t>
      </w:r>
      <w:r w:rsidR="00FC454A" w:rsidRPr="00FC454A">
        <w:rPr>
          <w:rFonts w:ascii="Arial" w:hAnsi="Arial" w:cs="Arial"/>
          <w:sz w:val="24"/>
          <w:szCs w:val="24"/>
        </w:rPr>
        <w:t>125/2017/DGL Prezesa Narodowego Funduszu Zdrowia z dnia 12 grudnia 2017 r.</w:t>
      </w:r>
      <w:r w:rsidR="00FC454A">
        <w:rPr>
          <w:rFonts w:ascii="Arial" w:hAnsi="Arial" w:cs="Arial"/>
          <w:sz w:val="24"/>
          <w:szCs w:val="24"/>
        </w:rPr>
        <w:t xml:space="preserve"> </w:t>
      </w:r>
      <w:r w:rsidRPr="00141A5B">
        <w:rPr>
          <w:rFonts w:ascii="Arial" w:hAnsi="Arial" w:cs="Arial"/>
          <w:sz w:val="24"/>
          <w:szCs w:val="24"/>
        </w:rPr>
        <w:t xml:space="preserve">związane z dostosowaniem przepisów do </w:t>
      </w:r>
      <w:proofErr w:type="spellStart"/>
      <w:r w:rsidRPr="00141A5B">
        <w:rPr>
          <w:rFonts w:ascii="Arial" w:hAnsi="Arial" w:cs="Arial"/>
          <w:sz w:val="24"/>
          <w:szCs w:val="24"/>
        </w:rPr>
        <w:t>obwieszczeń</w:t>
      </w:r>
      <w:proofErr w:type="spellEnd"/>
      <w:r w:rsidRPr="00141A5B">
        <w:rPr>
          <w:rFonts w:ascii="Arial" w:hAnsi="Arial" w:cs="Arial"/>
          <w:sz w:val="24"/>
          <w:szCs w:val="24"/>
        </w:rPr>
        <w:t xml:space="preserve"> Ministra Zdrowia</w:t>
      </w:r>
      <w:r w:rsidR="008668A2">
        <w:rPr>
          <w:rFonts w:ascii="Arial" w:hAnsi="Arial" w:cs="Arial"/>
          <w:sz w:val="24"/>
          <w:szCs w:val="24"/>
        </w:rPr>
        <w:t>,</w:t>
      </w:r>
      <w:r w:rsidRPr="00141A5B">
        <w:rPr>
          <w:rFonts w:ascii="Arial" w:hAnsi="Arial" w:cs="Arial"/>
          <w:sz w:val="24"/>
          <w:szCs w:val="24"/>
        </w:rPr>
        <w:t xml:space="preserve"> wydawanych na podstawie art. 37 ust. 1 ustawy z dnia 12 maja 2011 r. o</w:t>
      </w:r>
      <w:r w:rsidR="00EF623F">
        <w:rPr>
          <w:rFonts w:ascii="Arial" w:hAnsi="Arial" w:cs="Arial"/>
          <w:sz w:val="24"/>
          <w:szCs w:val="24"/>
        </w:rPr>
        <w:t> </w:t>
      </w:r>
      <w:r w:rsidRPr="00141A5B">
        <w:rPr>
          <w:rFonts w:ascii="Arial" w:hAnsi="Arial" w:cs="Arial"/>
          <w:sz w:val="24"/>
          <w:szCs w:val="24"/>
        </w:rPr>
        <w:t xml:space="preserve">refundacji leków , środków spożywczych specjalnego przeznaczenia żywieniowego wyrobów medycznych </w:t>
      </w:r>
      <w:r w:rsidR="008668A2">
        <w:rPr>
          <w:rFonts w:ascii="Arial" w:hAnsi="Arial" w:cs="Arial"/>
          <w:sz w:val="24"/>
          <w:szCs w:val="24"/>
        </w:rPr>
        <w:t>(</w:t>
      </w:r>
      <w:r w:rsidRPr="00141A5B">
        <w:rPr>
          <w:rFonts w:ascii="Arial" w:hAnsi="Arial" w:cs="Arial"/>
          <w:sz w:val="24"/>
          <w:szCs w:val="24"/>
        </w:rPr>
        <w:t>Dz. U. z 2017 r. poz. 1844</w:t>
      </w:r>
      <w:r w:rsidR="008668A2">
        <w:rPr>
          <w:rFonts w:ascii="Arial" w:hAnsi="Arial" w:cs="Arial"/>
          <w:sz w:val="24"/>
          <w:szCs w:val="24"/>
        </w:rPr>
        <w:t>, z późn. zm.)</w:t>
      </w:r>
      <w:r w:rsidRPr="00141A5B">
        <w:rPr>
          <w:rFonts w:ascii="Arial" w:hAnsi="Arial" w:cs="Arial"/>
          <w:sz w:val="24"/>
          <w:szCs w:val="24"/>
        </w:rPr>
        <w:t>, zwanej dalej „ustawą o</w:t>
      </w:r>
      <w:r w:rsidR="00EF623F">
        <w:rPr>
          <w:rFonts w:ascii="Arial" w:hAnsi="Arial" w:cs="Arial"/>
          <w:sz w:val="24"/>
          <w:szCs w:val="24"/>
        </w:rPr>
        <w:t> </w:t>
      </w:r>
      <w:r w:rsidRPr="00141A5B">
        <w:rPr>
          <w:rFonts w:ascii="Arial" w:hAnsi="Arial" w:cs="Arial"/>
          <w:sz w:val="24"/>
          <w:szCs w:val="24"/>
        </w:rPr>
        <w:t>refundacji”</w:t>
      </w:r>
      <w:r w:rsidR="008668A2">
        <w:rPr>
          <w:rFonts w:ascii="Arial" w:hAnsi="Arial" w:cs="Arial"/>
          <w:sz w:val="24"/>
          <w:szCs w:val="24"/>
        </w:rPr>
        <w:t>,</w:t>
      </w:r>
      <w:r w:rsidRPr="00141A5B">
        <w:rPr>
          <w:rFonts w:ascii="Arial" w:hAnsi="Arial" w:cs="Arial"/>
          <w:sz w:val="24"/>
          <w:szCs w:val="24"/>
        </w:rPr>
        <w:t xml:space="preserve"> zaistniała konieczność wydania nowego zarządzenia.</w:t>
      </w:r>
    </w:p>
    <w:p w:rsidR="00141A5B" w:rsidRDefault="00FC454A" w:rsidP="00FC454A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C454A">
        <w:rPr>
          <w:rFonts w:ascii="Arial" w:hAnsi="Arial" w:cs="Arial"/>
          <w:sz w:val="24"/>
          <w:szCs w:val="24"/>
        </w:rPr>
        <w:t>Zarządzenie poprawiono pod względem legislacyjny</w:t>
      </w:r>
      <w:r>
        <w:rPr>
          <w:rFonts w:ascii="Arial" w:hAnsi="Arial" w:cs="Arial"/>
          <w:sz w:val="24"/>
          <w:szCs w:val="24"/>
        </w:rPr>
        <w:t xml:space="preserve">m, merytorycznym oraz językowym. </w:t>
      </w:r>
    </w:p>
    <w:p w:rsidR="00FC454A" w:rsidRPr="00FC454A" w:rsidRDefault="00FC454A" w:rsidP="00FC454A">
      <w:pPr>
        <w:pStyle w:val="Akapitzlist"/>
        <w:spacing w:before="120" w:after="120" w:line="360" w:lineRule="auto"/>
        <w:ind w:left="567" w:hanging="11"/>
        <w:jc w:val="both"/>
        <w:rPr>
          <w:rFonts w:ascii="Arial" w:hAnsi="Arial" w:cs="Arial"/>
          <w:sz w:val="24"/>
          <w:szCs w:val="24"/>
        </w:rPr>
      </w:pPr>
      <w:r w:rsidRPr="00FC454A">
        <w:rPr>
          <w:rFonts w:ascii="Arial" w:hAnsi="Arial" w:cs="Arial"/>
          <w:sz w:val="24"/>
          <w:szCs w:val="24"/>
        </w:rPr>
        <w:t>Zmiany merytoryczne polegają na:</w:t>
      </w:r>
    </w:p>
    <w:p w:rsidR="000140C7" w:rsidRDefault="000140C7" w:rsidP="00BB7254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uwzględnieniu uwag Mał</w:t>
      </w:r>
      <w:r w:rsidR="00BF7E45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polskiego OW NFZ oraz Łódzkiego OW NFZ dotyczących dostosowania definicji ryczałtu za diagnostykę do zmian w zakresie rozliczania badań genetycznych w </w:t>
      </w:r>
      <w:proofErr w:type="spellStart"/>
      <w:r>
        <w:rPr>
          <w:rFonts w:ascii="Arial" w:hAnsi="Arial" w:cs="Arial"/>
          <w:sz w:val="24"/>
          <w:szCs w:val="24"/>
        </w:rPr>
        <w:t>hematoonkologicznych</w:t>
      </w:r>
      <w:proofErr w:type="spellEnd"/>
      <w:r>
        <w:rPr>
          <w:rFonts w:ascii="Arial" w:hAnsi="Arial" w:cs="Arial"/>
          <w:sz w:val="24"/>
          <w:szCs w:val="24"/>
        </w:rPr>
        <w:t xml:space="preserve"> programach lekowych, zgodnie z § 23 ust. 4 zarządzenia;</w:t>
      </w:r>
    </w:p>
    <w:p w:rsidR="00FC454A" w:rsidRDefault="00FC454A" w:rsidP="00BB7254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FC454A">
        <w:rPr>
          <w:rFonts w:ascii="Arial" w:hAnsi="Arial" w:cs="Arial"/>
          <w:sz w:val="24"/>
          <w:szCs w:val="24"/>
        </w:rPr>
        <w:t>dostosowaniu § 26 ust.</w:t>
      </w:r>
      <w:r w:rsidR="007576A6">
        <w:rPr>
          <w:rFonts w:ascii="Arial" w:hAnsi="Arial" w:cs="Arial"/>
          <w:sz w:val="24"/>
          <w:szCs w:val="24"/>
        </w:rPr>
        <w:t xml:space="preserve"> </w:t>
      </w:r>
      <w:r w:rsidRPr="00FC454A">
        <w:rPr>
          <w:rFonts w:ascii="Arial" w:hAnsi="Arial" w:cs="Arial"/>
          <w:sz w:val="24"/>
          <w:szCs w:val="24"/>
        </w:rPr>
        <w:t>2 pkt 2 do przepisów zarządzenia Nr 56/2018/DGL z</w:t>
      </w:r>
      <w:r>
        <w:rPr>
          <w:rFonts w:ascii="Arial" w:hAnsi="Arial" w:cs="Arial"/>
          <w:sz w:val="24"/>
          <w:szCs w:val="24"/>
        </w:rPr>
        <w:t> </w:t>
      </w:r>
      <w:r w:rsidRPr="00FC454A">
        <w:rPr>
          <w:rFonts w:ascii="Arial" w:hAnsi="Arial" w:cs="Arial"/>
          <w:sz w:val="24"/>
          <w:szCs w:val="24"/>
        </w:rPr>
        <w:t>dnia 25 czerwca 2018 r. w sprawie określenia warunków zawierania i</w:t>
      </w:r>
      <w:r>
        <w:rPr>
          <w:rFonts w:ascii="Arial" w:hAnsi="Arial" w:cs="Arial"/>
          <w:sz w:val="24"/>
          <w:szCs w:val="24"/>
        </w:rPr>
        <w:t> </w:t>
      </w:r>
      <w:r w:rsidRPr="00FC454A">
        <w:rPr>
          <w:rFonts w:ascii="Arial" w:hAnsi="Arial" w:cs="Arial"/>
          <w:sz w:val="24"/>
          <w:szCs w:val="24"/>
        </w:rPr>
        <w:t>realizacji umów w rodzaju leczenie szpitalne w zakresie chemioterapia i</w:t>
      </w:r>
      <w:r>
        <w:rPr>
          <w:rFonts w:ascii="Arial" w:hAnsi="Arial" w:cs="Arial"/>
          <w:sz w:val="24"/>
          <w:szCs w:val="24"/>
        </w:rPr>
        <w:t> </w:t>
      </w:r>
      <w:r w:rsidR="00EF5BAD">
        <w:rPr>
          <w:rFonts w:ascii="Arial" w:hAnsi="Arial" w:cs="Arial"/>
          <w:sz w:val="24"/>
          <w:szCs w:val="24"/>
        </w:rPr>
        <w:t>dotyczą</w:t>
      </w:r>
      <w:r w:rsidRPr="00FC454A">
        <w:rPr>
          <w:rFonts w:ascii="Arial" w:hAnsi="Arial" w:cs="Arial"/>
          <w:sz w:val="24"/>
          <w:szCs w:val="24"/>
        </w:rPr>
        <w:t xml:space="preserve"> usunięcia możliwości łącznego rozliczania substancji czynnych z</w:t>
      </w:r>
      <w:r>
        <w:rPr>
          <w:rFonts w:ascii="Arial" w:hAnsi="Arial" w:cs="Arial"/>
          <w:sz w:val="24"/>
          <w:szCs w:val="24"/>
        </w:rPr>
        <w:t> </w:t>
      </w:r>
      <w:r w:rsidRPr="00FC454A">
        <w:rPr>
          <w:rFonts w:ascii="Arial" w:hAnsi="Arial" w:cs="Arial"/>
          <w:sz w:val="24"/>
          <w:szCs w:val="24"/>
        </w:rPr>
        <w:t>katalogu leków w programach lekowych ze świadczeniami z</w:t>
      </w:r>
      <w:r w:rsidR="00E165B1">
        <w:rPr>
          <w:rFonts w:ascii="Arial" w:hAnsi="Arial" w:cs="Arial"/>
          <w:sz w:val="24"/>
          <w:szCs w:val="24"/>
        </w:rPr>
        <w:t> </w:t>
      </w:r>
      <w:r w:rsidRPr="00FC454A">
        <w:rPr>
          <w:rFonts w:ascii="Arial" w:hAnsi="Arial" w:cs="Arial"/>
          <w:sz w:val="24"/>
          <w:szCs w:val="24"/>
        </w:rPr>
        <w:t>katalogu świadcz</w:t>
      </w:r>
      <w:r w:rsidR="00EF5BAD">
        <w:rPr>
          <w:rFonts w:ascii="Arial" w:hAnsi="Arial" w:cs="Arial"/>
          <w:sz w:val="24"/>
          <w:szCs w:val="24"/>
        </w:rPr>
        <w:t xml:space="preserve">eń podstawowych w chemioterapii. Zmiana </w:t>
      </w:r>
      <w:proofErr w:type="spellStart"/>
      <w:r w:rsidR="00EF5BAD">
        <w:rPr>
          <w:rFonts w:ascii="Arial" w:hAnsi="Arial" w:cs="Arial"/>
          <w:sz w:val="24"/>
          <w:szCs w:val="24"/>
        </w:rPr>
        <w:t>uspójni</w:t>
      </w:r>
      <w:proofErr w:type="spellEnd"/>
      <w:r w:rsidR="00EF5BAD">
        <w:rPr>
          <w:rFonts w:ascii="Arial" w:hAnsi="Arial" w:cs="Arial"/>
          <w:sz w:val="24"/>
          <w:szCs w:val="24"/>
        </w:rPr>
        <w:t xml:space="preserve"> oba zarządzenia;</w:t>
      </w:r>
    </w:p>
    <w:p w:rsidR="00BF7E45" w:rsidRPr="00FC454A" w:rsidRDefault="00BF7E45" w:rsidP="00BF7E45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F7E45">
        <w:rPr>
          <w:rFonts w:ascii="Arial" w:hAnsi="Arial" w:cs="Arial"/>
          <w:sz w:val="24"/>
          <w:szCs w:val="24"/>
        </w:rPr>
        <w:t>dostosowaniu przepisu dotyczącego rozliczania świadczeń w sytuacji, gdy u</w:t>
      </w:r>
      <w:r>
        <w:rPr>
          <w:rFonts w:ascii="Arial" w:hAnsi="Arial" w:cs="Arial"/>
          <w:sz w:val="24"/>
          <w:szCs w:val="24"/>
        </w:rPr>
        <w:t> </w:t>
      </w:r>
      <w:r w:rsidRPr="00BF7E45">
        <w:rPr>
          <w:rFonts w:ascii="Arial" w:hAnsi="Arial" w:cs="Arial"/>
          <w:sz w:val="24"/>
          <w:szCs w:val="24"/>
        </w:rPr>
        <w:t>pacjenta stosowane są jednocześnie leki w programach lekowych oraz leki z</w:t>
      </w:r>
      <w:r w:rsidR="00B20D45">
        <w:rPr>
          <w:rFonts w:ascii="Arial" w:hAnsi="Arial" w:cs="Arial"/>
          <w:sz w:val="24"/>
          <w:szCs w:val="24"/>
        </w:rPr>
        <w:t> </w:t>
      </w:r>
      <w:r w:rsidRPr="00BF7E45">
        <w:rPr>
          <w:rFonts w:ascii="Arial" w:hAnsi="Arial" w:cs="Arial"/>
          <w:sz w:val="24"/>
          <w:szCs w:val="24"/>
        </w:rPr>
        <w:t xml:space="preserve">katalogu leków w chemoterapii lub substancje z katalogu refundowanych substancji czynnych w chemioterapii do przepisów zarządzenia </w:t>
      </w:r>
      <w:r w:rsidRPr="00BF7E45">
        <w:rPr>
          <w:rFonts w:ascii="Arial" w:hAnsi="Arial" w:cs="Arial"/>
          <w:sz w:val="24"/>
          <w:szCs w:val="24"/>
        </w:rPr>
        <w:lastRenderedPageBreak/>
        <w:t>Nr</w:t>
      </w:r>
      <w:r w:rsidR="00B20D45">
        <w:rPr>
          <w:rFonts w:ascii="Arial" w:hAnsi="Arial" w:cs="Arial"/>
          <w:sz w:val="24"/>
          <w:szCs w:val="24"/>
        </w:rPr>
        <w:t> </w:t>
      </w:r>
      <w:r w:rsidRPr="00BF7E45">
        <w:rPr>
          <w:rFonts w:ascii="Arial" w:hAnsi="Arial" w:cs="Arial"/>
          <w:sz w:val="24"/>
          <w:szCs w:val="24"/>
        </w:rPr>
        <w:t>56/2018/DGL z dnia 25 czerwca 2018 r. w sprawie określenia warunków zawierania i realizacji umów w rodzaju leczenie szpitalne w zakresie chemioterapia</w:t>
      </w:r>
      <w:r>
        <w:rPr>
          <w:rFonts w:ascii="Arial" w:hAnsi="Arial" w:cs="Arial"/>
          <w:sz w:val="24"/>
          <w:szCs w:val="24"/>
        </w:rPr>
        <w:t xml:space="preserve"> poprzez dodanie § 26 ust. 5 zarządzenia – zgodnie z uwagami Małopolskiego i Łódzkiego OW NFZ;</w:t>
      </w:r>
    </w:p>
    <w:p w:rsidR="00FC454A" w:rsidRPr="00BF7E45" w:rsidRDefault="00FC454A" w:rsidP="00BB7254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F7E45">
        <w:rPr>
          <w:rFonts w:ascii="Arial" w:hAnsi="Arial" w:cs="Arial"/>
          <w:sz w:val="24"/>
          <w:szCs w:val="24"/>
        </w:rPr>
        <w:t xml:space="preserve">rozszerzeniu zakresu stosowania współczynników korygujących premiujących stosowanie tańszych odpowiedników leków refundowanych o następujące substancje: </w:t>
      </w:r>
      <w:proofErr w:type="spellStart"/>
      <w:r w:rsidRPr="00BF7E45">
        <w:rPr>
          <w:rFonts w:ascii="Arial" w:hAnsi="Arial" w:cs="Arial"/>
          <w:sz w:val="24"/>
          <w:szCs w:val="24"/>
        </w:rPr>
        <w:t>infliksymab</w:t>
      </w:r>
      <w:proofErr w:type="spellEnd"/>
      <w:r w:rsidRPr="00BF7E4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F7E45">
        <w:rPr>
          <w:rFonts w:ascii="Arial" w:hAnsi="Arial" w:cs="Arial"/>
          <w:sz w:val="24"/>
          <w:szCs w:val="24"/>
        </w:rPr>
        <w:t>etanercept</w:t>
      </w:r>
      <w:proofErr w:type="spellEnd"/>
      <w:r w:rsidRPr="00BF7E4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F7E45">
        <w:rPr>
          <w:rFonts w:ascii="Arial" w:hAnsi="Arial" w:cs="Arial"/>
          <w:sz w:val="24"/>
          <w:szCs w:val="24"/>
        </w:rPr>
        <w:t>trastuzumab</w:t>
      </w:r>
      <w:proofErr w:type="spellEnd"/>
      <w:r w:rsidRPr="00BF7E45">
        <w:rPr>
          <w:rFonts w:ascii="Arial" w:hAnsi="Arial" w:cs="Arial"/>
          <w:sz w:val="24"/>
          <w:szCs w:val="24"/>
        </w:rPr>
        <w:t xml:space="preserve"> (postać dożylna), </w:t>
      </w:r>
      <w:proofErr w:type="spellStart"/>
      <w:r w:rsidRPr="00BF7E45">
        <w:rPr>
          <w:rFonts w:ascii="Arial" w:hAnsi="Arial" w:cs="Arial"/>
          <w:sz w:val="24"/>
          <w:szCs w:val="24"/>
        </w:rPr>
        <w:t>tobramycyna</w:t>
      </w:r>
      <w:proofErr w:type="spellEnd"/>
      <w:r w:rsidRPr="00BF7E45">
        <w:rPr>
          <w:rFonts w:ascii="Arial" w:hAnsi="Arial" w:cs="Arial"/>
          <w:sz w:val="24"/>
          <w:szCs w:val="24"/>
        </w:rPr>
        <w:t xml:space="preserve"> oraz octan </w:t>
      </w:r>
      <w:proofErr w:type="spellStart"/>
      <w:r w:rsidRPr="00BF7E45">
        <w:rPr>
          <w:rFonts w:ascii="Arial" w:hAnsi="Arial" w:cs="Arial"/>
          <w:sz w:val="24"/>
          <w:szCs w:val="24"/>
        </w:rPr>
        <w:t>glatirameru</w:t>
      </w:r>
      <w:proofErr w:type="spellEnd"/>
      <w:r w:rsidRPr="00BF7E45">
        <w:rPr>
          <w:rFonts w:ascii="Arial" w:hAnsi="Arial" w:cs="Arial"/>
          <w:sz w:val="24"/>
          <w:szCs w:val="24"/>
        </w:rPr>
        <w:t xml:space="preserve"> – moc 40 mg/ml. Zastosowanie współczynników korygujących pozwoli na zwiększenie dostępu pacjentów do terapii poprzez obniżenie kosztów leków stosowanych w programach lekowych. Szacowane oszczędności wygenerowane dzięki zastosowaniu przedmiotowego mechanizmu dla ww. leków mogą maksymalnie wynieść </w:t>
      </w:r>
      <w:r w:rsidR="00DF7E2E" w:rsidRPr="00BF7E45">
        <w:rPr>
          <w:rFonts w:ascii="Arial" w:hAnsi="Arial" w:cs="Arial"/>
          <w:sz w:val="24"/>
          <w:szCs w:val="24"/>
        </w:rPr>
        <w:t xml:space="preserve">85,6 mln </w:t>
      </w:r>
      <w:r w:rsidRPr="00BF7E45">
        <w:rPr>
          <w:rFonts w:ascii="Arial" w:hAnsi="Arial" w:cs="Arial"/>
          <w:sz w:val="24"/>
          <w:szCs w:val="24"/>
        </w:rPr>
        <w:t>złotych rocznie. Zwiększone wydatki NFZ spowodowane zastosowaniem współczynników do wybranych ryczałtów diagnostycznych i świadczeń podstawowych wyniosą natomiast maksy</w:t>
      </w:r>
      <w:r w:rsidR="00DF7E2E" w:rsidRPr="00BF7E45">
        <w:rPr>
          <w:rFonts w:ascii="Arial" w:hAnsi="Arial" w:cs="Arial"/>
          <w:sz w:val="24"/>
          <w:szCs w:val="24"/>
        </w:rPr>
        <w:t xml:space="preserve">malnie do </w:t>
      </w:r>
      <w:r w:rsidR="00462F7C">
        <w:rPr>
          <w:rFonts w:ascii="Arial" w:hAnsi="Arial" w:cs="Arial"/>
          <w:sz w:val="24"/>
          <w:szCs w:val="24"/>
        </w:rPr>
        <w:t>13,5</w:t>
      </w:r>
      <w:r w:rsidR="00DF7E2E" w:rsidRPr="00BF7E45">
        <w:rPr>
          <w:rFonts w:ascii="Arial" w:hAnsi="Arial" w:cs="Arial"/>
          <w:sz w:val="24"/>
          <w:szCs w:val="24"/>
        </w:rPr>
        <w:t xml:space="preserve"> mln</w:t>
      </w:r>
      <w:r w:rsidRPr="00BF7E45">
        <w:rPr>
          <w:rFonts w:ascii="Arial" w:hAnsi="Arial" w:cs="Arial"/>
          <w:sz w:val="24"/>
          <w:szCs w:val="24"/>
        </w:rPr>
        <w:t xml:space="preserve"> złotych. Należy podkreślić, że zaproponowany mechanizm jest bezpieczny z punktu widzenia wydatków NFZ, ponieważ podniesienie kwoty przekazywanej świadczeniodawcom w ramach ryczałtów diagnostycznych i zapłaty za świadczenia podstawowe nastąpi jedynie wówczas, gdy lek będzie kupowany odpowiednio tanio. Zakłada się, że zastosowany mechanizm autoregulacyjny będzie motywował świadczeniodawców do zakupu tańszych leków przy zachowaniu równowag</w:t>
      </w:r>
      <w:r w:rsidR="00A30BAB" w:rsidRPr="00BF7E45">
        <w:rPr>
          <w:rFonts w:ascii="Arial" w:hAnsi="Arial" w:cs="Arial"/>
          <w:sz w:val="24"/>
          <w:szCs w:val="24"/>
        </w:rPr>
        <w:t>i finansowej NFZ;</w:t>
      </w:r>
    </w:p>
    <w:p w:rsidR="00A30BAB" w:rsidRDefault="00A30BAB" w:rsidP="00BB7254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uwzględnieniu uwag zgłoszonych przez środowisko hematolog</w:t>
      </w:r>
      <w:r w:rsidR="000119FE">
        <w:rPr>
          <w:rFonts w:ascii="Arial" w:hAnsi="Arial" w:cs="Arial"/>
          <w:sz w:val="24"/>
          <w:szCs w:val="24"/>
        </w:rPr>
        <w:t>ów</w:t>
      </w:r>
      <w:r w:rsidR="00693DD2">
        <w:rPr>
          <w:rFonts w:ascii="Arial" w:hAnsi="Arial" w:cs="Arial"/>
          <w:sz w:val="24"/>
          <w:szCs w:val="24"/>
        </w:rPr>
        <w:t xml:space="preserve"> do projektu wcześniejszego zarządzenia zmieniającego </w:t>
      </w:r>
      <w:proofErr w:type="spellStart"/>
      <w:r w:rsidR="00693DD2">
        <w:rPr>
          <w:rFonts w:ascii="Arial" w:hAnsi="Arial" w:cs="Arial"/>
          <w:sz w:val="24"/>
          <w:szCs w:val="24"/>
        </w:rPr>
        <w:t>ws</w:t>
      </w:r>
      <w:proofErr w:type="spellEnd"/>
      <w:r w:rsidR="00693DD2">
        <w:rPr>
          <w:rFonts w:ascii="Arial" w:hAnsi="Arial" w:cs="Arial"/>
          <w:sz w:val="24"/>
          <w:szCs w:val="24"/>
        </w:rPr>
        <w:t>. ryczałtów</w:t>
      </w:r>
      <w:r>
        <w:rPr>
          <w:rFonts w:ascii="Arial" w:hAnsi="Arial" w:cs="Arial"/>
          <w:sz w:val="24"/>
          <w:szCs w:val="24"/>
        </w:rPr>
        <w:t>, zgodnie z</w:t>
      </w:r>
      <w:r w:rsidR="000E1AA9">
        <w:rPr>
          <w:rFonts w:ascii="Arial" w:hAnsi="Arial" w:cs="Arial"/>
          <w:sz w:val="24"/>
          <w:szCs w:val="24"/>
        </w:rPr>
        <w:t> </w:t>
      </w:r>
      <w:r w:rsidR="00693DD2">
        <w:rPr>
          <w:rFonts w:ascii="Arial" w:hAnsi="Arial" w:cs="Arial"/>
          <w:sz w:val="24"/>
          <w:szCs w:val="24"/>
        </w:rPr>
        <w:t>którymi w </w:t>
      </w:r>
      <w:r>
        <w:rPr>
          <w:rFonts w:ascii="Arial" w:hAnsi="Arial" w:cs="Arial"/>
          <w:sz w:val="24"/>
          <w:szCs w:val="24"/>
        </w:rPr>
        <w:t xml:space="preserve">przypadku </w:t>
      </w:r>
      <w:proofErr w:type="spellStart"/>
      <w:r w:rsidR="000E1AA9">
        <w:rPr>
          <w:rFonts w:ascii="Arial" w:hAnsi="Arial" w:cs="Arial"/>
          <w:sz w:val="24"/>
          <w:szCs w:val="24"/>
        </w:rPr>
        <w:t>hematoonkologicznych</w:t>
      </w:r>
      <w:proofErr w:type="spellEnd"/>
      <w:r w:rsidR="000E1A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programów lekowych wartość badań genetycznych wykonywanych w trakcie kwalifikacji </w:t>
      </w:r>
      <w:r w:rsidR="000119FE">
        <w:rPr>
          <w:rFonts w:ascii="Arial" w:hAnsi="Arial" w:cs="Arial"/>
          <w:sz w:val="24"/>
          <w:szCs w:val="24"/>
        </w:rPr>
        <w:t>powinna być</w:t>
      </w:r>
      <w:r>
        <w:rPr>
          <w:rFonts w:ascii="Arial" w:hAnsi="Arial" w:cs="Arial"/>
          <w:sz w:val="24"/>
          <w:szCs w:val="24"/>
        </w:rPr>
        <w:t xml:space="preserve"> rozliczana w</w:t>
      </w:r>
      <w:r w:rsidR="000E1AA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ramach ryczałtu diagnostycznego</w:t>
      </w:r>
      <w:r w:rsidR="000E1AA9">
        <w:rPr>
          <w:rFonts w:ascii="Arial" w:hAnsi="Arial" w:cs="Arial"/>
          <w:sz w:val="24"/>
          <w:szCs w:val="24"/>
        </w:rPr>
        <w:t>. Powyższe wynika ze specyfiki tych chorób, w</w:t>
      </w:r>
      <w:r w:rsidR="00693DD2">
        <w:rPr>
          <w:rFonts w:ascii="Arial" w:hAnsi="Arial" w:cs="Arial"/>
          <w:sz w:val="24"/>
          <w:szCs w:val="24"/>
        </w:rPr>
        <w:t xml:space="preserve"> przypadku</w:t>
      </w:r>
      <w:r w:rsidR="000E1AA9">
        <w:rPr>
          <w:rFonts w:ascii="Arial" w:hAnsi="Arial" w:cs="Arial"/>
          <w:sz w:val="24"/>
          <w:szCs w:val="24"/>
        </w:rPr>
        <w:t xml:space="preserve"> których bardzo często pacjent po wykonaniu badań kwalifikacyjnych jest włączany do programy lekowego i niezwłocznie rozpoczyna leczenie. </w:t>
      </w:r>
      <w:r w:rsidR="000119FE">
        <w:rPr>
          <w:rFonts w:ascii="Arial" w:hAnsi="Arial" w:cs="Arial"/>
          <w:sz w:val="24"/>
          <w:szCs w:val="24"/>
        </w:rPr>
        <w:t>Mając na uwadze powyższe, p</w:t>
      </w:r>
      <w:r w:rsidR="000E1AA9">
        <w:rPr>
          <w:rFonts w:ascii="Arial" w:hAnsi="Arial" w:cs="Arial"/>
          <w:sz w:val="24"/>
          <w:szCs w:val="24"/>
        </w:rPr>
        <w:t xml:space="preserve">rzeliczono wartość </w:t>
      </w:r>
      <w:r w:rsidR="000119FE">
        <w:rPr>
          <w:rFonts w:ascii="Arial" w:hAnsi="Arial" w:cs="Arial"/>
          <w:sz w:val="24"/>
          <w:szCs w:val="24"/>
        </w:rPr>
        <w:t>dla następujących ryczałtów</w:t>
      </w:r>
      <w:r w:rsidR="002B5BFD">
        <w:rPr>
          <w:rFonts w:ascii="Arial" w:hAnsi="Arial" w:cs="Arial"/>
          <w:sz w:val="24"/>
          <w:szCs w:val="24"/>
        </w:rPr>
        <w:t xml:space="preserve"> </w:t>
      </w:r>
      <w:r w:rsidR="000119FE">
        <w:rPr>
          <w:rFonts w:ascii="Arial" w:hAnsi="Arial" w:cs="Arial"/>
          <w:sz w:val="24"/>
          <w:szCs w:val="24"/>
        </w:rPr>
        <w:t>diagnostycznych:</w:t>
      </w:r>
    </w:p>
    <w:p w:rsidR="002B5BFD" w:rsidRDefault="002B5BFD" w:rsidP="002B5BFD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B5BFD">
        <w:rPr>
          <w:rFonts w:ascii="Arial" w:hAnsi="Arial" w:cs="Arial"/>
          <w:sz w:val="24"/>
          <w:szCs w:val="24"/>
        </w:rPr>
        <w:t>5.08.08.0000020</w:t>
      </w:r>
      <w:r>
        <w:rPr>
          <w:rFonts w:ascii="Arial" w:hAnsi="Arial" w:cs="Arial"/>
          <w:sz w:val="24"/>
          <w:szCs w:val="24"/>
        </w:rPr>
        <w:t xml:space="preserve"> - </w:t>
      </w:r>
      <w:r w:rsidRPr="002B5BFD">
        <w:rPr>
          <w:rFonts w:ascii="Arial" w:hAnsi="Arial" w:cs="Arial"/>
          <w:sz w:val="24"/>
          <w:szCs w:val="24"/>
        </w:rPr>
        <w:t xml:space="preserve">Diagnostyka w programie leczenia przewlekłej białaczki szpikowej  </w:t>
      </w:r>
      <w:r>
        <w:rPr>
          <w:rFonts w:ascii="Arial" w:hAnsi="Arial" w:cs="Arial"/>
          <w:sz w:val="24"/>
          <w:szCs w:val="24"/>
        </w:rPr>
        <w:t>na 3134,00</w:t>
      </w:r>
      <w:r w:rsidR="00693DD2">
        <w:rPr>
          <w:rFonts w:ascii="Arial" w:hAnsi="Arial" w:cs="Arial"/>
          <w:sz w:val="24"/>
          <w:szCs w:val="24"/>
        </w:rPr>
        <w:t xml:space="preserve"> zł</w:t>
      </w:r>
      <w:r>
        <w:rPr>
          <w:rFonts w:ascii="Arial" w:hAnsi="Arial" w:cs="Arial"/>
          <w:sz w:val="24"/>
          <w:szCs w:val="24"/>
        </w:rPr>
        <w:t>,</w:t>
      </w:r>
    </w:p>
    <w:p w:rsidR="002B5BFD" w:rsidRDefault="002B5BFD" w:rsidP="002B5BFD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B5BFD">
        <w:rPr>
          <w:rFonts w:ascii="Arial" w:hAnsi="Arial" w:cs="Arial"/>
          <w:sz w:val="24"/>
          <w:szCs w:val="24"/>
        </w:rPr>
        <w:t>5.08.08.0000073</w:t>
      </w:r>
      <w:r>
        <w:rPr>
          <w:rFonts w:ascii="Arial" w:hAnsi="Arial" w:cs="Arial"/>
          <w:sz w:val="24"/>
          <w:szCs w:val="24"/>
        </w:rPr>
        <w:t xml:space="preserve"> - </w:t>
      </w:r>
      <w:r w:rsidRPr="002B5BFD">
        <w:rPr>
          <w:rFonts w:ascii="Arial" w:hAnsi="Arial" w:cs="Arial"/>
          <w:sz w:val="24"/>
          <w:szCs w:val="24"/>
        </w:rPr>
        <w:t>Diagnostyka w programie leczenia dazatynibem ostrej białaczki limfoblastycznej z</w:t>
      </w:r>
      <w:r>
        <w:rPr>
          <w:rFonts w:ascii="Arial" w:hAnsi="Arial" w:cs="Arial"/>
          <w:sz w:val="24"/>
          <w:szCs w:val="24"/>
        </w:rPr>
        <w:t xml:space="preserve"> chromosomem Filadelfia (</w:t>
      </w:r>
      <w:proofErr w:type="spellStart"/>
      <w:r>
        <w:rPr>
          <w:rFonts w:ascii="Arial" w:hAnsi="Arial" w:cs="Arial"/>
          <w:sz w:val="24"/>
          <w:szCs w:val="24"/>
        </w:rPr>
        <w:t>Ph</w:t>
      </w:r>
      <w:proofErr w:type="spellEnd"/>
      <w:r>
        <w:rPr>
          <w:rFonts w:ascii="Arial" w:hAnsi="Arial" w:cs="Arial"/>
          <w:sz w:val="24"/>
          <w:szCs w:val="24"/>
        </w:rPr>
        <w:t>+) na 7656,96</w:t>
      </w:r>
      <w:r w:rsidR="00693DD2">
        <w:rPr>
          <w:rFonts w:ascii="Arial" w:hAnsi="Arial" w:cs="Arial"/>
          <w:sz w:val="24"/>
          <w:szCs w:val="24"/>
        </w:rPr>
        <w:t xml:space="preserve"> zł</w:t>
      </w:r>
      <w:r>
        <w:rPr>
          <w:rFonts w:ascii="Arial" w:hAnsi="Arial" w:cs="Arial"/>
          <w:sz w:val="24"/>
          <w:szCs w:val="24"/>
        </w:rPr>
        <w:t>,</w:t>
      </w:r>
    </w:p>
    <w:p w:rsidR="002B5BFD" w:rsidRDefault="002B5BFD" w:rsidP="002B5BFD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5.08.08.0000085 - </w:t>
      </w:r>
      <w:r w:rsidRPr="002B5BFD">
        <w:rPr>
          <w:rFonts w:ascii="Arial" w:hAnsi="Arial" w:cs="Arial"/>
          <w:sz w:val="24"/>
          <w:szCs w:val="24"/>
        </w:rPr>
        <w:t>Diagnostyka w programie leczenia  opornych i</w:t>
      </w:r>
      <w:r>
        <w:rPr>
          <w:rFonts w:ascii="Arial" w:hAnsi="Arial" w:cs="Arial"/>
          <w:sz w:val="24"/>
          <w:szCs w:val="24"/>
        </w:rPr>
        <w:t> </w:t>
      </w:r>
      <w:r w:rsidRPr="002B5BFD">
        <w:rPr>
          <w:rFonts w:ascii="Arial" w:hAnsi="Arial" w:cs="Arial"/>
          <w:sz w:val="24"/>
          <w:szCs w:val="24"/>
        </w:rPr>
        <w:t>nawro</w:t>
      </w:r>
      <w:r>
        <w:rPr>
          <w:rFonts w:ascii="Arial" w:hAnsi="Arial" w:cs="Arial"/>
          <w:sz w:val="24"/>
          <w:szCs w:val="24"/>
        </w:rPr>
        <w:t>towych postaci chłoniaków CD30+ na 3861,00</w:t>
      </w:r>
      <w:r w:rsidR="00693DD2">
        <w:rPr>
          <w:rFonts w:ascii="Arial" w:hAnsi="Arial" w:cs="Arial"/>
          <w:sz w:val="24"/>
          <w:szCs w:val="24"/>
        </w:rPr>
        <w:t xml:space="preserve"> zł</w:t>
      </w:r>
      <w:r>
        <w:rPr>
          <w:rFonts w:ascii="Arial" w:hAnsi="Arial" w:cs="Arial"/>
          <w:sz w:val="24"/>
          <w:szCs w:val="24"/>
        </w:rPr>
        <w:t>,</w:t>
      </w:r>
    </w:p>
    <w:p w:rsidR="002B5BFD" w:rsidRDefault="002B5BFD" w:rsidP="002B5BFD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5.08.08.0000087 - </w:t>
      </w:r>
      <w:r w:rsidRPr="002B5BFD">
        <w:rPr>
          <w:rFonts w:ascii="Arial" w:hAnsi="Arial" w:cs="Arial"/>
          <w:sz w:val="24"/>
          <w:szCs w:val="24"/>
        </w:rPr>
        <w:t>Diagnostyka w programie leczenia przewlekłej białac</w:t>
      </w:r>
      <w:r>
        <w:rPr>
          <w:rFonts w:ascii="Arial" w:hAnsi="Arial" w:cs="Arial"/>
          <w:sz w:val="24"/>
          <w:szCs w:val="24"/>
        </w:rPr>
        <w:t xml:space="preserve">zki limfocytowej </w:t>
      </w:r>
      <w:proofErr w:type="spellStart"/>
      <w:r>
        <w:rPr>
          <w:rFonts w:ascii="Arial" w:hAnsi="Arial" w:cs="Arial"/>
          <w:sz w:val="24"/>
          <w:szCs w:val="24"/>
        </w:rPr>
        <w:t>obinutuzumabem</w:t>
      </w:r>
      <w:proofErr w:type="spellEnd"/>
      <w:r>
        <w:rPr>
          <w:rFonts w:ascii="Arial" w:hAnsi="Arial" w:cs="Arial"/>
          <w:sz w:val="24"/>
          <w:szCs w:val="24"/>
        </w:rPr>
        <w:t xml:space="preserve"> na 2207,00</w:t>
      </w:r>
      <w:r w:rsidR="00693DD2">
        <w:rPr>
          <w:rFonts w:ascii="Arial" w:hAnsi="Arial" w:cs="Arial"/>
          <w:sz w:val="24"/>
          <w:szCs w:val="24"/>
        </w:rPr>
        <w:t xml:space="preserve"> zł</w:t>
      </w:r>
      <w:r>
        <w:rPr>
          <w:rFonts w:ascii="Arial" w:hAnsi="Arial" w:cs="Arial"/>
          <w:sz w:val="24"/>
          <w:szCs w:val="24"/>
        </w:rPr>
        <w:t>,</w:t>
      </w:r>
    </w:p>
    <w:p w:rsidR="002B5BFD" w:rsidRDefault="002B5BFD" w:rsidP="002B5BFD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5.08.08.0000093 - </w:t>
      </w:r>
      <w:r w:rsidRPr="002B5BFD">
        <w:rPr>
          <w:rFonts w:ascii="Arial" w:hAnsi="Arial" w:cs="Arial"/>
          <w:sz w:val="24"/>
          <w:szCs w:val="24"/>
        </w:rPr>
        <w:t>Diagnostyka w programie lenalidomid w leczeniu pacjentów z anemią zależną od przetoczeń w przebiegu zespołów mielodysplastycznych o niskim lub pośrednim-1 ryzyku, związanych z</w:t>
      </w:r>
      <w:r>
        <w:rPr>
          <w:rFonts w:ascii="Arial" w:hAnsi="Arial" w:cs="Arial"/>
          <w:sz w:val="24"/>
          <w:szCs w:val="24"/>
        </w:rPr>
        <w:t> </w:t>
      </w:r>
      <w:r w:rsidRPr="002B5BFD">
        <w:rPr>
          <w:rFonts w:ascii="Arial" w:hAnsi="Arial" w:cs="Arial"/>
          <w:sz w:val="24"/>
          <w:szCs w:val="24"/>
        </w:rPr>
        <w:t xml:space="preserve">nieprawidłowością cytogenetyczną </w:t>
      </w:r>
      <w:r>
        <w:rPr>
          <w:rFonts w:ascii="Arial" w:hAnsi="Arial" w:cs="Arial"/>
          <w:sz w:val="24"/>
          <w:szCs w:val="24"/>
        </w:rPr>
        <w:t>w postaci izolowanej delecji 5q na 2078,00</w:t>
      </w:r>
      <w:r w:rsidR="00693DD2">
        <w:rPr>
          <w:rFonts w:ascii="Arial" w:hAnsi="Arial" w:cs="Arial"/>
          <w:sz w:val="24"/>
          <w:szCs w:val="24"/>
        </w:rPr>
        <w:t xml:space="preserve"> zł</w:t>
      </w:r>
      <w:r>
        <w:rPr>
          <w:rFonts w:ascii="Arial" w:hAnsi="Arial" w:cs="Arial"/>
          <w:sz w:val="24"/>
          <w:szCs w:val="24"/>
        </w:rPr>
        <w:t>,</w:t>
      </w:r>
    </w:p>
    <w:p w:rsidR="002B5BFD" w:rsidRDefault="002B5BFD" w:rsidP="002B5BFD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5.08.08.0000101 - </w:t>
      </w:r>
      <w:r w:rsidRPr="002B5BFD">
        <w:rPr>
          <w:rFonts w:ascii="Arial" w:hAnsi="Arial" w:cs="Arial"/>
          <w:sz w:val="24"/>
          <w:szCs w:val="24"/>
        </w:rPr>
        <w:t xml:space="preserve">Diagnostyka w programie </w:t>
      </w:r>
      <w:proofErr w:type="spellStart"/>
      <w:r w:rsidRPr="002B5BFD">
        <w:rPr>
          <w:rFonts w:ascii="Arial" w:hAnsi="Arial" w:cs="Arial"/>
          <w:sz w:val="24"/>
          <w:szCs w:val="24"/>
        </w:rPr>
        <w:t>ibrutynib</w:t>
      </w:r>
      <w:proofErr w:type="spellEnd"/>
      <w:r w:rsidRPr="002B5BFD">
        <w:rPr>
          <w:rFonts w:ascii="Arial" w:hAnsi="Arial" w:cs="Arial"/>
          <w:sz w:val="24"/>
          <w:szCs w:val="24"/>
        </w:rPr>
        <w:t xml:space="preserve"> w leczeniu chorych na p</w:t>
      </w:r>
      <w:r>
        <w:rPr>
          <w:rFonts w:ascii="Arial" w:hAnsi="Arial" w:cs="Arial"/>
          <w:sz w:val="24"/>
          <w:szCs w:val="24"/>
        </w:rPr>
        <w:t xml:space="preserve">rzewlekłą białaczkę limfocytową </w:t>
      </w:r>
      <w:r w:rsidRPr="002B5BFD"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sz w:val="24"/>
          <w:szCs w:val="24"/>
        </w:rPr>
        <w:t>2598,</w:t>
      </w:r>
      <w:r w:rsidR="009D4802">
        <w:rPr>
          <w:rFonts w:ascii="Arial" w:hAnsi="Arial" w:cs="Arial"/>
          <w:sz w:val="24"/>
          <w:szCs w:val="24"/>
        </w:rPr>
        <w:t>00</w:t>
      </w:r>
      <w:r w:rsidR="00693DD2">
        <w:rPr>
          <w:rFonts w:ascii="Arial" w:hAnsi="Arial" w:cs="Arial"/>
          <w:sz w:val="24"/>
          <w:szCs w:val="24"/>
        </w:rPr>
        <w:t xml:space="preserve"> zł</w:t>
      </w:r>
      <w:r w:rsidR="009D4802">
        <w:rPr>
          <w:rFonts w:ascii="Arial" w:hAnsi="Arial" w:cs="Arial"/>
          <w:sz w:val="24"/>
          <w:szCs w:val="24"/>
        </w:rPr>
        <w:t>,</w:t>
      </w:r>
    </w:p>
    <w:p w:rsidR="009D4802" w:rsidRDefault="009D4802" w:rsidP="009D4802">
      <w:pPr>
        <w:spacing w:before="120" w:after="12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Dodatkowo, zgodnie z powyższą zmianą dostosowano </w:t>
      </w:r>
      <w:r w:rsidR="001B332E">
        <w:rPr>
          <w:rFonts w:ascii="Arial" w:hAnsi="Arial" w:cs="Arial"/>
          <w:sz w:val="24"/>
          <w:szCs w:val="24"/>
        </w:rPr>
        <w:t>§ 23 poprzez dodanie ust</w:t>
      </w:r>
      <w:r w:rsidR="005826EA">
        <w:rPr>
          <w:rFonts w:ascii="Arial" w:hAnsi="Arial" w:cs="Arial"/>
          <w:sz w:val="24"/>
          <w:szCs w:val="24"/>
        </w:rPr>
        <w:t>.</w:t>
      </w:r>
      <w:r w:rsidR="001B332E">
        <w:rPr>
          <w:rFonts w:ascii="Arial" w:hAnsi="Arial" w:cs="Arial"/>
          <w:sz w:val="24"/>
          <w:szCs w:val="24"/>
        </w:rPr>
        <w:t xml:space="preserve"> </w:t>
      </w:r>
      <w:r w:rsidR="005826EA">
        <w:rPr>
          <w:rFonts w:ascii="Arial" w:hAnsi="Arial" w:cs="Arial"/>
          <w:sz w:val="24"/>
          <w:szCs w:val="24"/>
        </w:rPr>
        <w:t>4</w:t>
      </w:r>
      <w:r w:rsidR="001B332E">
        <w:rPr>
          <w:rFonts w:ascii="Arial" w:hAnsi="Arial" w:cs="Arial"/>
          <w:sz w:val="24"/>
          <w:szCs w:val="24"/>
        </w:rPr>
        <w:t xml:space="preserve">, zgodnie z którym </w:t>
      </w:r>
      <w:r w:rsidR="001B332E" w:rsidRPr="001B332E">
        <w:rPr>
          <w:rFonts w:ascii="Arial" w:hAnsi="Arial" w:cs="Arial"/>
          <w:sz w:val="24"/>
          <w:szCs w:val="24"/>
        </w:rPr>
        <w:t>badania genetyczne wykonywane w trakcie kwalifikacji do</w:t>
      </w:r>
      <w:r w:rsidR="001B33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B332E">
        <w:rPr>
          <w:rFonts w:ascii="Arial" w:hAnsi="Arial" w:cs="Arial"/>
          <w:sz w:val="24"/>
          <w:szCs w:val="24"/>
        </w:rPr>
        <w:t>hematoonkologicznego</w:t>
      </w:r>
      <w:proofErr w:type="spellEnd"/>
      <w:r w:rsidR="001B332E" w:rsidRPr="001B332E">
        <w:rPr>
          <w:rFonts w:ascii="Arial" w:hAnsi="Arial" w:cs="Arial"/>
          <w:sz w:val="24"/>
          <w:szCs w:val="24"/>
        </w:rPr>
        <w:t xml:space="preserve"> programu lekowego</w:t>
      </w:r>
      <w:r w:rsidR="001B332E">
        <w:rPr>
          <w:rFonts w:ascii="Arial" w:hAnsi="Arial" w:cs="Arial"/>
          <w:sz w:val="24"/>
          <w:szCs w:val="24"/>
        </w:rPr>
        <w:t>, tj</w:t>
      </w:r>
      <w:r w:rsidR="00693DD2">
        <w:rPr>
          <w:rFonts w:ascii="Arial" w:hAnsi="Arial" w:cs="Arial"/>
          <w:sz w:val="24"/>
          <w:szCs w:val="24"/>
        </w:rPr>
        <w:t>. programu lekowego obejmującego</w:t>
      </w:r>
      <w:r w:rsidR="001B332E">
        <w:rPr>
          <w:rFonts w:ascii="Arial" w:hAnsi="Arial" w:cs="Arial"/>
          <w:sz w:val="24"/>
          <w:szCs w:val="24"/>
        </w:rPr>
        <w:t>:</w:t>
      </w:r>
    </w:p>
    <w:p w:rsidR="001B332E" w:rsidRDefault="001B332E" w:rsidP="001B332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B332E">
        <w:rPr>
          <w:rFonts w:ascii="Arial" w:hAnsi="Arial" w:cs="Arial"/>
          <w:sz w:val="24"/>
          <w:szCs w:val="24"/>
        </w:rPr>
        <w:t>Leczenie chłoniaków złośliwych</w:t>
      </w:r>
      <w:r>
        <w:rPr>
          <w:rFonts w:ascii="Arial" w:hAnsi="Arial" w:cs="Arial"/>
          <w:sz w:val="24"/>
          <w:szCs w:val="24"/>
        </w:rPr>
        <w:t>,</w:t>
      </w:r>
    </w:p>
    <w:p w:rsidR="001B332E" w:rsidRDefault="001B332E" w:rsidP="001B332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B332E">
        <w:rPr>
          <w:rFonts w:ascii="Arial" w:hAnsi="Arial" w:cs="Arial"/>
          <w:sz w:val="24"/>
          <w:szCs w:val="24"/>
        </w:rPr>
        <w:t>Leczenie przewlekłej białaczki szpikowej</w:t>
      </w:r>
      <w:r>
        <w:rPr>
          <w:rFonts w:ascii="Arial" w:hAnsi="Arial" w:cs="Arial"/>
          <w:sz w:val="24"/>
          <w:szCs w:val="24"/>
        </w:rPr>
        <w:t>,</w:t>
      </w:r>
    </w:p>
    <w:p w:rsidR="001B332E" w:rsidRDefault="001B332E" w:rsidP="001B332E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B332E">
        <w:rPr>
          <w:rFonts w:ascii="Arial" w:hAnsi="Arial" w:cs="Arial"/>
          <w:sz w:val="24"/>
          <w:szCs w:val="24"/>
        </w:rPr>
        <w:t>Lenalidomid w leczeniu chorych na opornego lub nawrotowego szpiczaka mnogiego</w:t>
      </w:r>
      <w:r>
        <w:rPr>
          <w:rFonts w:ascii="Arial" w:hAnsi="Arial" w:cs="Arial"/>
          <w:sz w:val="24"/>
          <w:szCs w:val="24"/>
        </w:rPr>
        <w:t>,</w:t>
      </w:r>
    </w:p>
    <w:p w:rsidR="001B332E" w:rsidRDefault="006C4E3C" w:rsidP="006C4E3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4E3C">
        <w:rPr>
          <w:rFonts w:ascii="Arial" w:hAnsi="Arial" w:cs="Arial"/>
          <w:sz w:val="24"/>
          <w:szCs w:val="24"/>
        </w:rPr>
        <w:t>Leczenie dazatynibem ostrej białaczki limfoblastycznej z chromosomem Filadelfia (</w:t>
      </w:r>
      <w:proofErr w:type="spellStart"/>
      <w:r w:rsidRPr="006C4E3C">
        <w:rPr>
          <w:rFonts w:ascii="Arial" w:hAnsi="Arial" w:cs="Arial"/>
          <w:sz w:val="24"/>
          <w:szCs w:val="24"/>
        </w:rPr>
        <w:t>Ph</w:t>
      </w:r>
      <w:proofErr w:type="spellEnd"/>
      <w:r w:rsidRPr="006C4E3C">
        <w:rPr>
          <w:rFonts w:ascii="Arial" w:hAnsi="Arial" w:cs="Arial"/>
          <w:sz w:val="24"/>
          <w:szCs w:val="24"/>
        </w:rPr>
        <w:t>+)</w:t>
      </w:r>
      <w:r>
        <w:rPr>
          <w:rFonts w:ascii="Arial" w:hAnsi="Arial" w:cs="Arial"/>
          <w:sz w:val="24"/>
          <w:szCs w:val="24"/>
        </w:rPr>
        <w:t>,</w:t>
      </w:r>
    </w:p>
    <w:p w:rsidR="006C4E3C" w:rsidRDefault="006C4E3C" w:rsidP="006C4E3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4E3C">
        <w:rPr>
          <w:rFonts w:ascii="Arial" w:hAnsi="Arial" w:cs="Arial"/>
          <w:sz w:val="24"/>
          <w:szCs w:val="24"/>
        </w:rPr>
        <w:t>Leczenie beksarotenem ziarniniaka grzybiastego lub zespołu Sezary'ego</w:t>
      </w:r>
      <w:r>
        <w:rPr>
          <w:rFonts w:ascii="Arial" w:hAnsi="Arial" w:cs="Arial"/>
          <w:sz w:val="24"/>
          <w:szCs w:val="24"/>
        </w:rPr>
        <w:t>,</w:t>
      </w:r>
    </w:p>
    <w:p w:rsidR="006C4E3C" w:rsidRDefault="006C4E3C" w:rsidP="006C4E3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4E3C">
        <w:rPr>
          <w:rFonts w:ascii="Arial" w:hAnsi="Arial" w:cs="Arial"/>
          <w:sz w:val="24"/>
          <w:szCs w:val="24"/>
        </w:rPr>
        <w:t>Leczenie opornych i nawrotowych postaci chłoniaków CD30+</w:t>
      </w:r>
      <w:r>
        <w:rPr>
          <w:rFonts w:ascii="Arial" w:hAnsi="Arial" w:cs="Arial"/>
          <w:sz w:val="24"/>
          <w:szCs w:val="24"/>
        </w:rPr>
        <w:t>,</w:t>
      </w:r>
    </w:p>
    <w:p w:rsidR="006C4E3C" w:rsidRDefault="006C4E3C" w:rsidP="006C4E3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4E3C">
        <w:rPr>
          <w:rFonts w:ascii="Arial" w:hAnsi="Arial" w:cs="Arial"/>
          <w:sz w:val="24"/>
          <w:szCs w:val="24"/>
        </w:rPr>
        <w:t xml:space="preserve">Leczenie przewlekłej białaczki limfocytowej </w:t>
      </w:r>
      <w:proofErr w:type="spellStart"/>
      <w:r w:rsidRPr="006C4E3C">
        <w:rPr>
          <w:rFonts w:ascii="Arial" w:hAnsi="Arial" w:cs="Arial"/>
          <w:sz w:val="24"/>
          <w:szCs w:val="24"/>
        </w:rPr>
        <w:t>obinutuzumabem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6C4E3C" w:rsidRDefault="006C4E3C" w:rsidP="006C4E3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4E3C">
        <w:rPr>
          <w:rFonts w:ascii="Arial" w:hAnsi="Arial" w:cs="Arial"/>
          <w:sz w:val="24"/>
          <w:szCs w:val="24"/>
        </w:rPr>
        <w:t>Leczenie mielofibrozy pierwotnej oraz mielofibrozy wtórnej w przebiegu czerwienicy prawdziwej i nadpłytkowości samoistnej</w:t>
      </w:r>
      <w:r>
        <w:rPr>
          <w:rFonts w:ascii="Arial" w:hAnsi="Arial" w:cs="Arial"/>
          <w:sz w:val="24"/>
          <w:szCs w:val="24"/>
        </w:rPr>
        <w:t>,</w:t>
      </w:r>
    </w:p>
    <w:p w:rsidR="006C4E3C" w:rsidRDefault="006C4E3C" w:rsidP="006C4E3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4E3C">
        <w:rPr>
          <w:rFonts w:ascii="Arial" w:hAnsi="Arial" w:cs="Arial"/>
          <w:sz w:val="24"/>
          <w:szCs w:val="24"/>
        </w:rPr>
        <w:t>Lenalidomid w leczeniu pacjentów z anemią zależną od przetoczeń w</w:t>
      </w:r>
      <w:r>
        <w:rPr>
          <w:rFonts w:ascii="Arial" w:hAnsi="Arial" w:cs="Arial"/>
          <w:sz w:val="24"/>
          <w:szCs w:val="24"/>
        </w:rPr>
        <w:t> </w:t>
      </w:r>
      <w:r w:rsidRPr="006C4E3C">
        <w:rPr>
          <w:rFonts w:ascii="Arial" w:hAnsi="Arial" w:cs="Arial"/>
          <w:sz w:val="24"/>
          <w:szCs w:val="24"/>
        </w:rPr>
        <w:t>przebiegu zespołów mielodysplastycznych o niskim lub pośrednim-1 ryzyku, związanych z nieprawidłowością cytogenetyczną w postaci izolowanej delecji 5q</w:t>
      </w:r>
      <w:r>
        <w:rPr>
          <w:rFonts w:ascii="Arial" w:hAnsi="Arial" w:cs="Arial"/>
          <w:sz w:val="24"/>
          <w:szCs w:val="24"/>
        </w:rPr>
        <w:t>,</w:t>
      </w:r>
    </w:p>
    <w:p w:rsidR="006C4E3C" w:rsidRDefault="006C4E3C" w:rsidP="006C4E3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C4E3C">
        <w:rPr>
          <w:rFonts w:ascii="Arial" w:hAnsi="Arial" w:cs="Arial"/>
          <w:sz w:val="24"/>
          <w:szCs w:val="24"/>
        </w:rPr>
        <w:t>Ibrutynib</w:t>
      </w:r>
      <w:proofErr w:type="spellEnd"/>
      <w:r w:rsidRPr="006C4E3C">
        <w:rPr>
          <w:rFonts w:ascii="Arial" w:hAnsi="Arial" w:cs="Arial"/>
          <w:sz w:val="24"/>
          <w:szCs w:val="24"/>
        </w:rPr>
        <w:t xml:space="preserve"> w leczeniu chorych na przewlekłą białaczkę limfocytową</w:t>
      </w:r>
      <w:r>
        <w:rPr>
          <w:rFonts w:ascii="Arial" w:hAnsi="Arial" w:cs="Arial"/>
          <w:sz w:val="24"/>
          <w:szCs w:val="24"/>
        </w:rPr>
        <w:t>,</w:t>
      </w:r>
    </w:p>
    <w:p w:rsidR="006C4E3C" w:rsidRDefault="006C4E3C" w:rsidP="006C4E3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C4E3C">
        <w:rPr>
          <w:rFonts w:ascii="Arial" w:hAnsi="Arial" w:cs="Arial"/>
          <w:sz w:val="24"/>
          <w:szCs w:val="24"/>
        </w:rPr>
        <w:t>Piksantron</w:t>
      </w:r>
      <w:proofErr w:type="spellEnd"/>
      <w:r w:rsidRPr="006C4E3C">
        <w:rPr>
          <w:rFonts w:ascii="Arial" w:hAnsi="Arial" w:cs="Arial"/>
          <w:sz w:val="24"/>
          <w:szCs w:val="24"/>
        </w:rPr>
        <w:t xml:space="preserve"> w leczeniu </w:t>
      </w:r>
      <w:proofErr w:type="spellStart"/>
      <w:r w:rsidRPr="006C4E3C">
        <w:rPr>
          <w:rFonts w:ascii="Arial" w:hAnsi="Arial" w:cs="Arial"/>
          <w:sz w:val="24"/>
          <w:szCs w:val="24"/>
        </w:rPr>
        <w:t>chłoniaków</w:t>
      </w:r>
      <w:proofErr w:type="spellEnd"/>
      <w:r w:rsidRPr="006C4E3C">
        <w:rPr>
          <w:rFonts w:ascii="Arial" w:hAnsi="Arial" w:cs="Arial"/>
          <w:sz w:val="24"/>
          <w:szCs w:val="24"/>
        </w:rPr>
        <w:t xml:space="preserve"> złośliwych</w:t>
      </w:r>
      <w:r>
        <w:rPr>
          <w:rFonts w:ascii="Arial" w:hAnsi="Arial" w:cs="Arial"/>
          <w:sz w:val="24"/>
          <w:szCs w:val="24"/>
        </w:rPr>
        <w:t>,</w:t>
      </w:r>
    </w:p>
    <w:p w:rsidR="006C4E3C" w:rsidRDefault="006C4E3C" w:rsidP="006C4E3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C4E3C">
        <w:rPr>
          <w:rFonts w:ascii="Arial" w:hAnsi="Arial" w:cs="Arial"/>
          <w:sz w:val="24"/>
          <w:szCs w:val="24"/>
        </w:rPr>
        <w:t xml:space="preserve">Leczenie opornej  i  nawrotowej  postaci klasycznego </w:t>
      </w:r>
      <w:proofErr w:type="spellStart"/>
      <w:r w:rsidRPr="006C4E3C">
        <w:rPr>
          <w:rFonts w:ascii="Arial" w:hAnsi="Arial" w:cs="Arial"/>
          <w:sz w:val="24"/>
          <w:szCs w:val="24"/>
        </w:rPr>
        <w:t>chłoniaka</w:t>
      </w:r>
      <w:proofErr w:type="spellEnd"/>
      <w:r w:rsidRPr="006C4E3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4E3C">
        <w:rPr>
          <w:rFonts w:ascii="Arial" w:hAnsi="Arial" w:cs="Arial"/>
          <w:sz w:val="24"/>
          <w:szCs w:val="24"/>
        </w:rPr>
        <w:t>Hodgkina</w:t>
      </w:r>
      <w:proofErr w:type="spellEnd"/>
      <w:r w:rsidRPr="006C4E3C">
        <w:rPr>
          <w:rFonts w:ascii="Arial" w:hAnsi="Arial" w:cs="Arial"/>
          <w:sz w:val="24"/>
          <w:szCs w:val="24"/>
        </w:rPr>
        <w:t xml:space="preserve"> z</w:t>
      </w:r>
      <w:r w:rsidR="00170D38">
        <w:rPr>
          <w:rFonts w:ascii="Arial" w:hAnsi="Arial" w:cs="Arial"/>
          <w:sz w:val="24"/>
          <w:szCs w:val="24"/>
        </w:rPr>
        <w:t> </w:t>
      </w:r>
      <w:r w:rsidRPr="006C4E3C">
        <w:rPr>
          <w:rFonts w:ascii="Arial" w:hAnsi="Arial" w:cs="Arial"/>
          <w:sz w:val="24"/>
          <w:szCs w:val="24"/>
        </w:rPr>
        <w:t xml:space="preserve">zastosowaniem </w:t>
      </w:r>
      <w:proofErr w:type="spellStart"/>
      <w:r w:rsidRPr="006C4E3C">
        <w:rPr>
          <w:rFonts w:ascii="Arial" w:hAnsi="Arial" w:cs="Arial"/>
          <w:sz w:val="24"/>
          <w:szCs w:val="24"/>
        </w:rPr>
        <w:t>niwolumabu</w:t>
      </w:r>
      <w:proofErr w:type="spellEnd"/>
    </w:p>
    <w:p w:rsidR="00693DD2" w:rsidRPr="00693DD2" w:rsidRDefault="00693DD2" w:rsidP="00693DD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będą finansowane w </w:t>
      </w:r>
      <w:r w:rsidR="005826EA">
        <w:rPr>
          <w:rFonts w:ascii="Arial" w:hAnsi="Arial" w:cs="Arial"/>
          <w:sz w:val="24"/>
          <w:szCs w:val="24"/>
        </w:rPr>
        <w:t>ramach ryczałtu diagnostycznego, jeżeli pacjent został zakwalifikowany do odpowiedniego programu;</w:t>
      </w:r>
    </w:p>
    <w:p w:rsidR="000E1AA9" w:rsidRDefault="00797267" w:rsidP="00BB7254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3F429D">
        <w:rPr>
          <w:rFonts w:ascii="Arial" w:hAnsi="Arial" w:cs="Arial"/>
          <w:sz w:val="24"/>
          <w:szCs w:val="24"/>
        </w:rPr>
        <w:t>względnieniu uwag dotyczących podwyższenia wa</w:t>
      </w:r>
      <w:r>
        <w:rPr>
          <w:rFonts w:ascii="Arial" w:hAnsi="Arial" w:cs="Arial"/>
          <w:sz w:val="24"/>
          <w:szCs w:val="24"/>
        </w:rPr>
        <w:t>rtości ryczałtu diagnostycznego:</w:t>
      </w:r>
    </w:p>
    <w:p w:rsidR="003F429D" w:rsidRDefault="00797267" w:rsidP="004A35CA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5.08.08.0000011 - </w:t>
      </w:r>
      <w:r w:rsidRPr="00797267">
        <w:rPr>
          <w:rFonts w:ascii="Arial" w:hAnsi="Arial" w:cs="Arial"/>
          <w:sz w:val="24"/>
          <w:szCs w:val="24"/>
        </w:rPr>
        <w:t xml:space="preserve">Diagnostyka w programie leczenia </w:t>
      </w:r>
      <w:r w:rsidR="004D6AB1">
        <w:rPr>
          <w:rFonts w:ascii="Arial" w:hAnsi="Arial" w:cs="Arial"/>
          <w:sz w:val="24"/>
          <w:szCs w:val="24"/>
        </w:rPr>
        <w:t>niedrobnokomórkowego raka płuca,</w:t>
      </w:r>
    </w:p>
    <w:p w:rsidR="004D6AB1" w:rsidRDefault="00797267" w:rsidP="004A35CA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5.08.08.0000071 - </w:t>
      </w:r>
      <w:r w:rsidRPr="00797267">
        <w:rPr>
          <w:rFonts w:ascii="Arial" w:hAnsi="Arial" w:cs="Arial"/>
          <w:sz w:val="24"/>
          <w:szCs w:val="24"/>
        </w:rPr>
        <w:t>Diagnostyka w programie leczenia niedrobnokomórkowego raka płuca z zastos</w:t>
      </w:r>
      <w:r>
        <w:rPr>
          <w:rFonts w:ascii="Arial" w:hAnsi="Arial" w:cs="Arial"/>
          <w:sz w:val="24"/>
          <w:szCs w:val="24"/>
        </w:rPr>
        <w:t xml:space="preserve">owaniem </w:t>
      </w:r>
      <w:proofErr w:type="spellStart"/>
      <w:r>
        <w:rPr>
          <w:rFonts w:ascii="Arial" w:hAnsi="Arial" w:cs="Arial"/>
          <w:sz w:val="24"/>
          <w:szCs w:val="24"/>
        </w:rPr>
        <w:t>afatynibu</w:t>
      </w:r>
      <w:proofErr w:type="spellEnd"/>
      <w:r>
        <w:rPr>
          <w:rFonts w:ascii="Arial" w:hAnsi="Arial" w:cs="Arial"/>
          <w:sz w:val="24"/>
          <w:szCs w:val="24"/>
        </w:rPr>
        <w:t xml:space="preserve"> i</w:t>
      </w:r>
      <w:r w:rsidR="004A35CA">
        <w:rPr>
          <w:rFonts w:ascii="Arial" w:hAnsi="Arial" w:cs="Arial"/>
          <w:sz w:val="24"/>
          <w:szCs w:val="24"/>
        </w:rPr>
        <w:t> </w:t>
      </w:r>
      <w:proofErr w:type="spellStart"/>
      <w:r>
        <w:rPr>
          <w:rFonts w:ascii="Arial" w:hAnsi="Arial" w:cs="Arial"/>
          <w:sz w:val="24"/>
          <w:szCs w:val="24"/>
        </w:rPr>
        <w:t>nintedanibu</w:t>
      </w:r>
      <w:proofErr w:type="spellEnd"/>
    </w:p>
    <w:p w:rsidR="004D6AB1" w:rsidRDefault="004D6AB1" w:rsidP="004D6AB1">
      <w:pPr>
        <w:spacing w:before="120" w:after="12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D6AB1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na 3927,00</w:t>
      </w:r>
      <w:r w:rsidR="00693DD2">
        <w:rPr>
          <w:rFonts w:ascii="Arial" w:hAnsi="Arial" w:cs="Arial"/>
          <w:sz w:val="24"/>
          <w:szCs w:val="24"/>
        </w:rPr>
        <w:t xml:space="preserve"> zł</w:t>
      </w:r>
      <w:r>
        <w:rPr>
          <w:rFonts w:ascii="Arial" w:hAnsi="Arial" w:cs="Arial"/>
          <w:sz w:val="24"/>
          <w:szCs w:val="24"/>
        </w:rPr>
        <w:t xml:space="preserve">. </w:t>
      </w:r>
      <w:r w:rsidR="00EF6A54" w:rsidRPr="00EF6A54">
        <w:rPr>
          <w:rFonts w:ascii="Arial" w:hAnsi="Arial" w:cs="Arial"/>
          <w:sz w:val="24"/>
          <w:szCs w:val="24"/>
        </w:rPr>
        <w:t xml:space="preserve">Proponowana zmiana wynika z faktu, że </w:t>
      </w:r>
      <w:r>
        <w:rPr>
          <w:rFonts w:ascii="Arial" w:hAnsi="Arial" w:cs="Arial"/>
          <w:sz w:val="24"/>
          <w:szCs w:val="24"/>
        </w:rPr>
        <w:t>w</w:t>
      </w:r>
      <w:r w:rsidR="004A35C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trakcie terapii u</w:t>
      </w:r>
      <w:r w:rsidR="005B43C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części pacjentów konieczne jest ponowne wykonanie badań genetycznych, co powinno być finansowane już w </w:t>
      </w:r>
      <w:r w:rsidR="004A35CA">
        <w:rPr>
          <w:rFonts w:ascii="Arial" w:hAnsi="Arial" w:cs="Arial"/>
          <w:sz w:val="24"/>
          <w:szCs w:val="24"/>
        </w:rPr>
        <w:t>ramach ryczałtu za di</w:t>
      </w:r>
      <w:r w:rsidR="00ED289A">
        <w:rPr>
          <w:rFonts w:ascii="Arial" w:hAnsi="Arial" w:cs="Arial"/>
          <w:sz w:val="24"/>
          <w:szCs w:val="24"/>
        </w:rPr>
        <w:t>agnostykę w programach lekowych;</w:t>
      </w:r>
    </w:p>
    <w:p w:rsidR="00E165B1" w:rsidRPr="00F6739A" w:rsidRDefault="00F6739A" w:rsidP="00F6739A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E165B1">
        <w:rPr>
          <w:rFonts w:ascii="Arial" w:hAnsi="Arial" w:cs="Arial"/>
          <w:sz w:val="24"/>
          <w:szCs w:val="24"/>
        </w:rPr>
        <w:t>możliwieniu rozliczania świadczeń z zakresu</w:t>
      </w:r>
      <w:r w:rsidR="00E165B1" w:rsidRPr="00E165B1">
        <w:t xml:space="preserve"> </w:t>
      </w:r>
      <w:r w:rsidR="00E165B1">
        <w:rPr>
          <w:rFonts w:ascii="Arial" w:hAnsi="Arial" w:cs="Arial"/>
          <w:sz w:val="24"/>
          <w:szCs w:val="24"/>
        </w:rPr>
        <w:t xml:space="preserve">03.0000.339.02 - </w:t>
      </w:r>
      <w:r w:rsidR="00E165B1" w:rsidRPr="00E165B1">
        <w:rPr>
          <w:rFonts w:ascii="Arial" w:hAnsi="Arial" w:cs="Arial"/>
          <w:sz w:val="24"/>
          <w:szCs w:val="24"/>
        </w:rPr>
        <w:t>Leczenie wtórnej nadczynności przytarczyc u pacjentów hemodializowanych</w:t>
      </w:r>
      <w:r w:rsidR="00E165B1">
        <w:rPr>
          <w:rFonts w:ascii="Arial" w:hAnsi="Arial" w:cs="Arial"/>
          <w:sz w:val="24"/>
          <w:szCs w:val="24"/>
        </w:rPr>
        <w:t xml:space="preserve"> </w:t>
      </w:r>
      <w:r w:rsidR="00E165B1" w:rsidRPr="00E165B1">
        <w:rPr>
          <w:rFonts w:ascii="Arial" w:hAnsi="Arial" w:cs="Arial"/>
          <w:sz w:val="24"/>
          <w:szCs w:val="24"/>
        </w:rPr>
        <w:t>w</w:t>
      </w:r>
      <w:r w:rsidR="00E165B1">
        <w:rPr>
          <w:rFonts w:ascii="Arial" w:hAnsi="Arial" w:cs="Arial"/>
          <w:sz w:val="24"/>
          <w:szCs w:val="24"/>
        </w:rPr>
        <w:t> </w:t>
      </w:r>
      <w:r w:rsidR="00E165B1" w:rsidRPr="00E165B1">
        <w:rPr>
          <w:rFonts w:ascii="Arial" w:hAnsi="Arial" w:cs="Arial"/>
          <w:sz w:val="24"/>
          <w:szCs w:val="24"/>
        </w:rPr>
        <w:t>ramach hospitalizacji</w:t>
      </w:r>
      <w:r w:rsidR="00E165B1">
        <w:rPr>
          <w:rFonts w:ascii="Arial" w:hAnsi="Arial" w:cs="Arial"/>
          <w:sz w:val="24"/>
          <w:szCs w:val="24"/>
        </w:rPr>
        <w:t xml:space="preserve"> dla dzieci, zgodnie z uwagą Kujawsko – Pomorskiego OW NFZ;</w:t>
      </w:r>
    </w:p>
    <w:p w:rsidR="00CA7200" w:rsidRDefault="001422EB" w:rsidP="001422EB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uwzględnieniu uwag Lubelskiego OW NFZ w zakresie </w:t>
      </w:r>
      <w:r w:rsidR="00CA7200">
        <w:rPr>
          <w:rFonts w:ascii="Arial" w:hAnsi="Arial" w:cs="Arial"/>
          <w:sz w:val="24"/>
          <w:szCs w:val="24"/>
        </w:rPr>
        <w:t>zmian</w:t>
      </w:r>
      <w:r>
        <w:rPr>
          <w:rFonts w:ascii="Arial" w:hAnsi="Arial" w:cs="Arial"/>
          <w:sz w:val="24"/>
          <w:szCs w:val="24"/>
        </w:rPr>
        <w:t>y</w:t>
      </w:r>
      <w:r w:rsidR="00CA72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wymagań</w:t>
      </w:r>
      <w:r w:rsidR="00CA7200" w:rsidRPr="00CA7200">
        <w:rPr>
          <w:rFonts w:ascii="Arial" w:hAnsi="Arial" w:cs="Arial"/>
          <w:sz w:val="24"/>
          <w:szCs w:val="24"/>
        </w:rPr>
        <w:t xml:space="preserve"> wobec świadczeniodawców udzielających świadczeń z zakresu programów lekowych</w:t>
      </w:r>
      <w:r>
        <w:rPr>
          <w:rFonts w:ascii="Arial" w:hAnsi="Arial" w:cs="Arial"/>
          <w:sz w:val="24"/>
          <w:szCs w:val="24"/>
        </w:rPr>
        <w:t>, poprzez</w:t>
      </w:r>
      <w:r w:rsidR="00CA7200">
        <w:rPr>
          <w:rFonts w:ascii="Arial" w:hAnsi="Arial" w:cs="Arial"/>
          <w:sz w:val="24"/>
          <w:szCs w:val="24"/>
        </w:rPr>
        <w:t>:</w:t>
      </w:r>
    </w:p>
    <w:p w:rsidR="00CA7200" w:rsidRDefault="001422EB" w:rsidP="001422EB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techniczną zmianę</w:t>
      </w:r>
      <w:r w:rsidR="00CA72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polegającą</w:t>
      </w:r>
      <w:r w:rsidR="00CA7200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wyszczególnieniu dostępu do</w:t>
      </w:r>
      <w:r w:rsidR="00CA7200">
        <w:rPr>
          <w:rFonts w:ascii="Arial" w:hAnsi="Arial" w:cs="Arial"/>
          <w:sz w:val="24"/>
          <w:szCs w:val="24"/>
        </w:rPr>
        <w:t xml:space="preserve"> konsultacji lekarzy w odpowiedniej dziedzinie dla dzieci i dorosłych leczonych w</w:t>
      </w:r>
      <w:r>
        <w:rPr>
          <w:rFonts w:ascii="Arial" w:hAnsi="Arial" w:cs="Arial"/>
          <w:sz w:val="24"/>
          <w:szCs w:val="24"/>
        </w:rPr>
        <w:t> </w:t>
      </w:r>
      <w:r w:rsidR="00CA7200">
        <w:rPr>
          <w:rFonts w:ascii="Arial" w:hAnsi="Arial" w:cs="Arial"/>
          <w:sz w:val="24"/>
          <w:szCs w:val="24"/>
        </w:rPr>
        <w:t xml:space="preserve">ramach programów </w:t>
      </w:r>
      <w:r>
        <w:rPr>
          <w:rFonts w:ascii="Arial" w:hAnsi="Arial" w:cs="Arial"/>
          <w:sz w:val="24"/>
          <w:szCs w:val="24"/>
        </w:rPr>
        <w:t>lekowych</w:t>
      </w:r>
      <w:r w:rsidR="00CA7200">
        <w:rPr>
          <w:rFonts w:ascii="Arial" w:hAnsi="Arial" w:cs="Arial"/>
          <w:sz w:val="24"/>
          <w:szCs w:val="24"/>
        </w:rPr>
        <w:t xml:space="preserve">: </w:t>
      </w:r>
    </w:p>
    <w:p w:rsidR="00F6739A" w:rsidRDefault="00CA7200" w:rsidP="001422EB">
      <w:pPr>
        <w:pStyle w:val="Akapitzlist"/>
        <w:numPr>
          <w:ilvl w:val="2"/>
          <w:numId w:val="2"/>
        </w:num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A7200">
        <w:rPr>
          <w:rFonts w:ascii="Arial" w:hAnsi="Arial" w:cs="Arial"/>
          <w:sz w:val="24"/>
          <w:szCs w:val="24"/>
        </w:rPr>
        <w:t xml:space="preserve">Leczenie choroby </w:t>
      </w:r>
      <w:proofErr w:type="spellStart"/>
      <w:r w:rsidRPr="00CA7200">
        <w:rPr>
          <w:rFonts w:ascii="Arial" w:hAnsi="Arial" w:cs="Arial"/>
          <w:sz w:val="24"/>
          <w:szCs w:val="24"/>
        </w:rPr>
        <w:t>G</w:t>
      </w:r>
      <w:r w:rsidR="00F6739A" w:rsidRPr="00CA7200">
        <w:rPr>
          <w:rFonts w:ascii="Arial" w:hAnsi="Arial" w:cs="Arial"/>
          <w:sz w:val="24"/>
          <w:szCs w:val="24"/>
        </w:rPr>
        <w:t>auchera</w:t>
      </w:r>
      <w:proofErr w:type="spellEnd"/>
      <w:r w:rsidRPr="00CA7200">
        <w:rPr>
          <w:rFonts w:ascii="Arial" w:hAnsi="Arial" w:cs="Arial"/>
          <w:sz w:val="24"/>
          <w:szCs w:val="24"/>
        </w:rPr>
        <w:t>,</w:t>
      </w:r>
    </w:p>
    <w:p w:rsidR="00CA7200" w:rsidRPr="00CA7200" w:rsidRDefault="00CA7200" w:rsidP="001422EB">
      <w:pPr>
        <w:pStyle w:val="Akapitzlist"/>
        <w:numPr>
          <w:ilvl w:val="2"/>
          <w:numId w:val="2"/>
        </w:num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Leczenie choroby </w:t>
      </w:r>
      <w:proofErr w:type="spellStart"/>
      <w:r>
        <w:rPr>
          <w:rFonts w:ascii="Arial" w:hAnsi="Arial" w:cs="Arial"/>
          <w:sz w:val="24"/>
          <w:szCs w:val="24"/>
        </w:rPr>
        <w:t>G</w:t>
      </w:r>
      <w:r w:rsidRPr="00F6739A">
        <w:rPr>
          <w:rFonts w:ascii="Arial" w:hAnsi="Arial" w:cs="Arial"/>
          <w:sz w:val="24"/>
          <w:szCs w:val="24"/>
        </w:rPr>
        <w:t>auchera</w:t>
      </w:r>
      <w:proofErr w:type="spellEnd"/>
      <w:r w:rsidRPr="00F6739A">
        <w:rPr>
          <w:rFonts w:ascii="Arial" w:hAnsi="Arial" w:cs="Arial"/>
          <w:sz w:val="24"/>
          <w:szCs w:val="24"/>
        </w:rPr>
        <w:t xml:space="preserve"> typu I</w:t>
      </w:r>
      <w:r>
        <w:rPr>
          <w:rFonts w:ascii="Arial" w:hAnsi="Arial" w:cs="Arial"/>
          <w:sz w:val="24"/>
          <w:szCs w:val="24"/>
        </w:rPr>
        <w:t>,</w:t>
      </w:r>
    </w:p>
    <w:p w:rsidR="00CA7200" w:rsidRDefault="00CA7200" w:rsidP="001422EB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doprecyzowanie wymagań dotyczących personelu dla  programów lekowych:</w:t>
      </w:r>
    </w:p>
    <w:p w:rsidR="00CA7200" w:rsidRDefault="00CA7200" w:rsidP="001422EB">
      <w:pPr>
        <w:pStyle w:val="Akapitzlist"/>
        <w:numPr>
          <w:ilvl w:val="2"/>
          <w:numId w:val="2"/>
        </w:num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Leczenie</w:t>
      </w:r>
      <w:r w:rsidRPr="00CA7200">
        <w:rPr>
          <w:rFonts w:ascii="Arial" w:hAnsi="Arial" w:cs="Arial"/>
          <w:sz w:val="24"/>
          <w:szCs w:val="24"/>
        </w:rPr>
        <w:t xml:space="preserve"> pierwotnych niedoborów odporności u dzieci,</w:t>
      </w:r>
    </w:p>
    <w:p w:rsidR="00CA7200" w:rsidRPr="00CA7200" w:rsidRDefault="00CA7200" w:rsidP="001422EB">
      <w:pPr>
        <w:pStyle w:val="Akapitzlist"/>
        <w:numPr>
          <w:ilvl w:val="2"/>
          <w:numId w:val="2"/>
        </w:num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CA7200">
        <w:rPr>
          <w:rFonts w:ascii="Arial" w:hAnsi="Arial" w:cs="Arial"/>
          <w:sz w:val="24"/>
          <w:szCs w:val="24"/>
        </w:rPr>
        <w:t>eczenie spastyczności w mózgowym porażeniu dziecięcym</w:t>
      </w:r>
      <w:r>
        <w:rPr>
          <w:rFonts w:ascii="Arial" w:hAnsi="Arial" w:cs="Arial"/>
          <w:sz w:val="24"/>
          <w:szCs w:val="24"/>
        </w:rPr>
        <w:t>,</w:t>
      </w:r>
    </w:p>
    <w:p w:rsidR="002606AE" w:rsidRPr="00F6739A" w:rsidRDefault="002606AE" w:rsidP="00F6739A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oznaczeniu</w:t>
      </w:r>
      <w:r w:rsidRPr="002606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wykazie programów </w:t>
      </w:r>
      <w:proofErr w:type="spellStart"/>
      <w:r w:rsidRPr="002606AE">
        <w:rPr>
          <w:rFonts w:ascii="Arial" w:hAnsi="Arial" w:cs="Arial"/>
          <w:sz w:val="24"/>
          <w:szCs w:val="24"/>
        </w:rPr>
        <w:t>hematoonkologicznych</w:t>
      </w:r>
      <w:proofErr w:type="spellEnd"/>
      <w:r w:rsidRPr="002606AE">
        <w:rPr>
          <w:rFonts w:ascii="Arial" w:hAnsi="Arial" w:cs="Arial"/>
          <w:sz w:val="24"/>
          <w:szCs w:val="24"/>
        </w:rPr>
        <w:t xml:space="preserve"> programów lekowych, o których mowa w § 23 ust. 4 zarządzenia</w:t>
      </w:r>
      <w:r>
        <w:rPr>
          <w:rFonts w:ascii="Arial" w:hAnsi="Arial" w:cs="Arial"/>
          <w:sz w:val="24"/>
          <w:szCs w:val="24"/>
        </w:rPr>
        <w:t>, zgodnie z uwagą Świętokrzyskiego OW NFZ;</w:t>
      </w:r>
    </w:p>
    <w:p w:rsidR="00ED289A" w:rsidRDefault="00ED289A" w:rsidP="004B4463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ED289A">
        <w:rPr>
          <w:rFonts w:ascii="Arial" w:hAnsi="Arial" w:cs="Arial"/>
          <w:sz w:val="24"/>
          <w:szCs w:val="24"/>
        </w:rPr>
        <w:t>dostosowaniu przepisów zarządzenia do aktualnego stanu faktycznego w zakresie refundacji leków stosowanych w programac</w:t>
      </w:r>
      <w:r w:rsidR="00DE0B36">
        <w:rPr>
          <w:rFonts w:ascii="Arial" w:hAnsi="Arial" w:cs="Arial"/>
          <w:sz w:val="24"/>
          <w:szCs w:val="24"/>
        </w:rPr>
        <w:t>h lekowych, tj. do obwieszczenia</w:t>
      </w:r>
      <w:r w:rsidRPr="00ED289A">
        <w:rPr>
          <w:rFonts w:ascii="Arial" w:hAnsi="Arial" w:cs="Arial"/>
          <w:sz w:val="24"/>
          <w:szCs w:val="24"/>
        </w:rPr>
        <w:t xml:space="preserve"> Ministra Zdrowia z</w:t>
      </w:r>
      <w:r>
        <w:rPr>
          <w:rFonts w:ascii="Arial" w:hAnsi="Arial" w:cs="Arial"/>
          <w:sz w:val="24"/>
          <w:szCs w:val="24"/>
        </w:rPr>
        <w:t> </w:t>
      </w:r>
      <w:r w:rsidRPr="00ED289A">
        <w:rPr>
          <w:rFonts w:ascii="Arial" w:hAnsi="Arial" w:cs="Arial"/>
          <w:sz w:val="24"/>
          <w:szCs w:val="24"/>
        </w:rPr>
        <w:t>dnia 9 lipca 2018 r.</w:t>
      </w:r>
      <w:r>
        <w:rPr>
          <w:rFonts w:ascii="Arial" w:hAnsi="Arial" w:cs="Arial"/>
          <w:sz w:val="24"/>
          <w:szCs w:val="24"/>
        </w:rPr>
        <w:t xml:space="preserve"> </w:t>
      </w:r>
      <w:r w:rsidRPr="00ED289A">
        <w:rPr>
          <w:rFonts w:ascii="Arial" w:hAnsi="Arial" w:cs="Arial"/>
          <w:sz w:val="24"/>
          <w:szCs w:val="24"/>
        </w:rPr>
        <w:t>o sprostowani</w:t>
      </w:r>
      <w:r w:rsidR="00DE0B36">
        <w:rPr>
          <w:rFonts w:ascii="Arial" w:hAnsi="Arial" w:cs="Arial"/>
          <w:sz w:val="24"/>
          <w:szCs w:val="24"/>
        </w:rPr>
        <w:t>u</w:t>
      </w:r>
      <w:r w:rsidRPr="00ED289A">
        <w:rPr>
          <w:rFonts w:ascii="Arial" w:hAnsi="Arial" w:cs="Arial"/>
          <w:sz w:val="24"/>
          <w:szCs w:val="24"/>
        </w:rPr>
        <w:t xml:space="preserve"> błędu</w:t>
      </w:r>
      <w:r>
        <w:rPr>
          <w:rFonts w:ascii="Arial" w:hAnsi="Arial" w:cs="Arial"/>
          <w:sz w:val="24"/>
          <w:szCs w:val="24"/>
        </w:rPr>
        <w:t>. Z</w:t>
      </w:r>
      <w:r w:rsidRPr="00ED289A">
        <w:rPr>
          <w:rFonts w:ascii="Arial" w:hAnsi="Arial" w:cs="Arial"/>
          <w:sz w:val="24"/>
          <w:szCs w:val="24"/>
        </w:rPr>
        <w:t>miana wynika</w:t>
      </w:r>
      <w:r w:rsidR="004B4463">
        <w:rPr>
          <w:rFonts w:ascii="Arial" w:hAnsi="Arial" w:cs="Arial"/>
          <w:sz w:val="24"/>
          <w:szCs w:val="24"/>
        </w:rPr>
        <w:t>jąca</w:t>
      </w:r>
      <w:r w:rsidRPr="00ED289A">
        <w:rPr>
          <w:rFonts w:ascii="Arial" w:hAnsi="Arial" w:cs="Arial"/>
          <w:sz w:val="24"/>
          <w:szCs w:val="24"/>
        </w:rPr>
        <w:t xml:space="preserve"> z</w:t>
      </w:r>
      <w:r w:rsidR="004B4463">
        <w:rPr>
          <w:rFonts w:ascii="Arial" w:hAnsi="Arial" w:cs="Arial"/>
          <w:sz w:val="24"/>
          <w:szCs w:val="24"/>
        </w:rPr>
        <w:t> </w:t>
      </w:r>
      <w:r w:rsidRPr="00ED289A">
        <w:rPr>
          <w:rFonts w:ascii="Arial" w:hAnsi="Arial" w:cs="Arial"/>
          <w:sz w:val="24"/>
          <w:szCs w:val="24"/>
        </w:rPr>
        <w:t xml:space="preserve">umieszczenia w obwieszczeniu refundacyjnym </w:t>
      </w:r>
      <w:r>
        <w:rPr>
          <w:rFonts w:ascii="Arial" w:hAnsi="Arial" w:cs="Arial"/>
          <w:sz w:val="24"/>
          <w:szCs w:val="24"/>
        </w:rPr>
        <w:t>nowego programu</w:t>
      </w:r>
      <w:r w:rsidRPr="00ED289A">
        <w:rPr>
          <w:rFonts w:ascii="Arial" w:hAnsi="Arial" w:cs="Arial"/>
          <w:sz w:val="24"/>
          <w:szCs w:val="24"/>
        </w:rPr>
        <w:t xml:space="preserve"> lekow</w:t>
      </w:r>
      <w:r>
        <w:rPr>
          <w:rFonts w:ascii="Arial" w:hAnsi="Arial" w:cs="Arial"/>
          <w:sz w:val="24"/>
          <w:szCs w:val="24"/>
        </w:rPr>
        <w:t>ego</w:t>
      </w:r>
      <w:r w:rsidR="00BB68E1">
        <w:rPr>
          <w:rFonts w:ascii="Arial" w:hAnsi="Arial" w:cs="Arial"/>
          <w:sz w:val="24"/>
          <w:szCs w:val="24"/>
        </w:rPr>
        <w:t>:</w:t>
      </w:r>
      <w:r w:rsidR="00BB68E1" w:rsidRPr="00BB68E1">
        <w:rPr>
          <w:rFonts w:ascii="Arial" w:hAnsi="Arial" w:cs="Arial"/>
          <w:sz w:val="24"/>
          <w:szCs w:val="24"/>
        </w:rPr>
        <w:t xml:space="preserve"> </w:t>
      </w:r>
      <w:r w:rsidR="00BB68E1">
        <w:rPr>
          <w:rFonts w:ascii="Arial" w:hAnsi="Arial" w:cs="Arial"/>
          <w:sz w:val="24"/>
          <w:szCs w:val="24"/>
        </w:rPr>
        <w:t>l</w:t>
      </w:r>
      <w:r w:rsidR="00BB68E1" w:rsidRPr="004B4463">
        <w:rPr>
          <w:rFonts w:ascii="Arial" w:hAnsi="Arial" w:cs="Arial"/>
          <w:sz w:val="24"/>
          <w:szCs w:val="24"/>
        </w:rPr>
        <w:t>eczeni</w:t>
      </w:r>
      <w:r w:rsidR="00BB68E1">
        <w:rPr>
          <w:rFonts w:ascii="Arial" w:hAnsi="Arial" w:cs="Arial"/>
          <w:sz w:val="24"/>
          <w:szCs w:val="24"/>
        </w:rPr>
        <w:t>a</w:t>
      </w:r>
      <w:r w:rsidR="00BB68E1" w:rsidRPr="004B4463">
        <w:rPr>
          <w:rFonts w:ascii="Arial" w:hAnsi="Arial" w:cs="Arial"/>
          <w:sz w:val="24"/>
          <w:szCs w:val="24"/>
        </w:rPr>
        <w:t xml:space="preserve"> pierwotnych niedoborów odporności u</w:t>
      </w:r>
      <w:r w:rsidR="00BB68E1">
        <w:rPr>
          <w:rFonts w:ascii="Arial" w:hAnsi="Arial" w:cs="Arial"/>
          <w:sz w:val="24"/>
          <w:szCs w:val="24"/>
        </w:rPr>
        <w:t> </w:t>
      </w:r>
      <w:r w:rsidR="00BB68E1" w:rsidRPr="004B4463">
        <w:rPr>
          <w:rFonts w:ascii="Arial" w:hAnsi="Arial" w:cs="Arial"/>
          <w:sz w:val="24"/>
          <w:szCs w:val="24"/>
        </w:rPr>
        <w:t>dzieci z</w:t>
      </w:r>
      <w:r w:rsidR="00BB68E1">
        <w:rPr>
          <w:rFonts w:ascii="Arial" w:hAnsi="Arial" w:cs="Arial"/>
          <w:sz w:val="24"/>
          <w:szCs w:val="24"/>
        </w:rPr>
        <w:t> </w:t>
      </w:r>
      <w:r w:rsidR="00BB68E1" w:rsidRPr="004B4463">
        <w:rPr>
          <w:rFonts w:ascii="Arial" w:hAnsi="Arial" w:cs="Arial"/>
          <w:sz w:val="24"/>
          <w:szCs w:val="24"/>
        </w:rPr>
        <w:t>zastosowaniem immunoglobuliny ludzkiej normalnej podawanej z</w:t>
      </w:r>
      <w:r w:rsidR="00BB68E1">
        <w:rPr>
          <w:rFonts w:ascii="Arial" w:hAnsi="Arial" w:cs="Arial"/>
          <w:sz w:val="24"/>
          <w:szCs w:val="24"/>
        </w:rPr>
        <w:t> </w:t>
      </w:r>
      <w:r w:rsidR="00BB68E1" w:rsidRPr="004B4463">
        <w:rPr>
          <w:rFonts w:ascii="Arial" w:hAnsi="Arial" w:cs="Arial"/>
          <w:sz w:val="24"/>
          <w:szCs w:val="24"/>
        </w:rPr>
        <w:t>rekombinowaną hialuronidazą ludzką</w:t>
      </w:r>
      <w:r w:rsidR="00BB68E1">
        <w:rPr>
          <w:rFonts w:ascii="Arial" w:hAnsi="Arial" w:cs="Arial"/>
          <w:sz w:val="24"/>
          <w:szCs w:val="24"/>
        </w:rPr>
        <w:t>, polega na dodaniu:</w:t>
      </w:r>
    </w:p>
    <w:p w:rsidR="00ED289A" w:rsidRPr="00BB68E1" w:rsidRDefault="005C4E3B" w:rsidP="00BB68E1">
      <w:pPr>
        <w:pStyle w:val="Akapitzlist"/>
        <w:numPr>
          <w:ilvl w:val="1"/>
          <w:numId w:val="2"/>
        </w:numPr>
        <w:spacing w:before="120" w:after="12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zakresu świadczeń: 03.0000.394</w:t>
      </w:r>
      <w:r w:rsidR="004B4463" w:rsidRPr="00BB68E1">
        <w:rPr>
          <w:rFonts w:ascii="Arial" w:hAnsi="Arial" w:cs="Arial"/>
          <w:sz w:val="24"/>
          <w:szCs w:val="24"/>
        </w:rPr>
        <w:t>.02 - Leczenie pierwotnych niedoborów odporności u dzieci z zastosowaniem immunoglobuliny ludzkiej normalnej podawanej z rekombinowaną hialuronidazą ludzką w</w:t>
      </w:r>
      <w:r w:rsidR="00BB68E1" w:rsidRPr="00BB68E1">
        <w:rPr>
          <w:rFonts w:ascii="Arial" w:hAnsi="Arial" w:cs="Arial"/>
          <w:sz w:val="24"/>
          <w:szCs w:val="24"/>
        </w:rPr>
        <w:t xml:space="preserve"> </w:t>
      </w:r>
      <w:r w:rsidR="004B4463" w:rsidRPr="00BB68E1">
        <w:rPr>
          <w:rFonts w:ascii="Arial" w:hAnsi="Arial" w:cs="Arial"/>
          <w:sz w:val="24"/>
          <w:szCs w:val="24"/>
        </w:rPr>
        <w:t>załączniku nr 1k do zarządzenia, określającego Katalog świadczeń i zakresów,</w:t>
      </w:r>
    </w:p>
    <w:p w:rsidR="004B4463" w:rsidRDefault="004B4463" w:rsidP="004B4463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4B4463">
        <w:rPr>
          <w:rFonts w:ascii="Arial" w:hAnsi="Arial" w:cs="Arial"/>
          <w:sz w:val="24"/>
          <w:szCs w:val="24"/>
        </w:rPr>
        <w:t>produkt</w:t>
      </w:r>
      <w:r>
        <w:rPr>
          <w:rFonts w:ascii="Arial" w:hAnsi="Arial" w:cs="Arial"/>
          <w:sz w:val="24"/>
          <w:szCs w:val="24"/>
        </w:rPr>
        <w:t>u</w:t>
      </w:r>
      <w:r w:rsidRPr="004B4463">
        <w:rPr>
          <w:rFonts w:ascii="Arial" w:hAnsi="Arial" w:cs="Arial"/>
          <w:sz w:val="24"/>
          <w:szCs w:val="24"/>
        </w:rPr>
        <w:t xml:space="preserve"> rozliczeniow</w:t>
      </w:r>
      <w:r>
        <w:rPr>
          <w:rFonts w:ascii="Arial" w:hAnsi="Arial" w:cs="Arial"/>
          <w:sz w:val="24"/>
          <w:szCs w:val="24"/>
        </w:rPr>
        <w:t xml:space="preserve">ego: </w:t>
      </w:r>
      <w:r w:rsidRPr="004B4463">
        <w:rPr>
          <w:rFonts w:ascii="Arial" w:hAnsi="Arial" w:cs="Arial"/>
          <w:sz w:val="24"/>
          <w:szCs w:val="24"/>
        </w:rPr>
        <w:t>5.08.08.0000123</w:t>
      </w:r>
      <w:r>
        <w:rPr>
          <w:rFonts w:ascii="Arial" w:hAnsi="Arial" w:cs="Arial"/>
          <w:sz w:val="24"/>
          <w:szCs w:val="24"/>
        </w:rPr>
        <w:t xml:space="preserve"> -  </w:t>
      </w:r>
      <w:r w:rsidRPr="004B4463">
        <w:rPr>
          <w:rFonts w:ascii="Arial" w:hAnsi="Arial" w:cs="Arial"/>
          <w:sz w:val="24"/>
          <w:szCs w:val="24"/>
        </w:rPr>
        <w:t>Diagnostyka w programie leczenia pierwotnych niedoborów odporności u dzieci  z zastosowaniem immunoglobuliny ludzkiej normalnej podawanej z reko</w:t>
      </w:r>
      <w:r>
        <w:rPr>
          <w:rFonts w:ascii="Arial" w:hAnsi="Arial" w:cs="Arial"/>
          <w:sz w:val="24"/>
          <w:szCs w:val="24"/>
        </w:rPr>
        <w:t xml:space="preserve">mbinowaną hialuronidazą ludzką w załączniku nr 1l do zarządzenia, określającego </w:t>
      </w:r>
      <w:r w:rsidRPr="004B4463">
        <w:rPr>
          <w:rFonts w:ascii="Arial" w:hAnsi="Arial" w:cs="Arial"/>
          <w:sz w:val="24"/>
          <w:szCs w:val="24"/>
        </w:rPr>
        <w:t>Katalog ryczałtów za diagnostykę w programach lekowych</w:t>
      </w:r>
      <w:r>
        <w:rPr>
          <w:rFonts w:ascii="Arial" w:hAnsi="Arial" w:cs="Arial"/>
          <w:sz w:val="24"/>
          <w:szCs w:val="24"/>
        </w:rPr>
        <w:t>,</w:t>
      </w:r>
    </w:p>
    <w:p w:rsidR="004B4463" w:rsidRDefault="004B4463" w:rsidP="004B4463">
      <w:pPr>
        <w:pStyle w:val="Akapitzlist"/>
        <w:numPr>
          <w:ilvl w:val="1"/>
          <w:numId w:val="2"/>
        </w:numPr>
        <w:spacing w:before="120" w:after="12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wymagań dla </w:t>
      </w:r>
      <w:r w:rsidR="00BB68E1">
        <w:rPr>
          <w:rFonts w:ascii="Arial" w:hAnsi="Arial" w:cs="Arial"/>
          <w:sz w:val="24"/>
          <w:szCs w:val="24"/>
        </w:rPr>
        <w:t xml:space="preserve">ww. </w:t>
      </w:r>
      <w:r>
        <w:rPr>
          <w:rFonts w:ascii="Arial" w:hAnsi="Arial" w:cs="Arial"/>
          <w:sz w:val="24"/>
          <w:szCs w:val="24"/>
        </w:rPr>
        <w:t xml:space="preserve">programu lekowego w załączniku </w:t>
      </w:r>
      <w:r w:rsidRPr="004B4463">
        <w:rPr>
          <w:rFonts w:ascii="Arial" w:hAnsi="Arial" w:cs="Arial"/>
          <w:sz w:val="24"/>
          <w:szCs w:val="24"/>
        </w:rPr>
        <w:t>nr 3</w:t>
      </w:r>
      <w:r>
        <w:rPr>
          <w:rFonts w:ascii="Arial" w:hAnsi="Arial" w:cs="Arial"/>
          <w:sz w:val="24"/>
          <w:szCs w:val="24"/>
        </w:rPr>
        <w:t xml:space="preserve"> do zarządzenia, określającego </w:t>
      </w:r>
      <w:r w:rsidRPr="004B4463">
        <w:rPr>
          <w:rFonts w:ascii="Arial" w:hAnsi="Arial" w:cs="Arial"/>
          <w:sz w:val="24"/>
          <w:szCs w:val="24"/>
        </w:rPr>
        <w:t>Wymagania wobec świadczeniodawców udzielających świadcz</w:t>
      </w:r>
      <w:r>
        <w:rPr>
          <w:rFonts w:ascii="Arial" w:hAnsi="Arial" w:cs="Arial"/>
          <w:sz w:val="24"/>
          <w:szCs w:val="24"/>
        </w:rPr>
        <w:t>eń z zakresu progr</w:t>
      </w:r>
      <w:r w:rsidR="00BB68E1">
        <w:rPr>
          <w:rFonts w:ascii="Arial" w:hAnsi="Arial" w:cs="Arial"/>
          <w:sz w:val="24"/>
          <w:szCs w:val="24"/>
        </w:rPr>
        <w:t>amów lekowych,</w:t>
      </w:r>
    </w:p>
    <w:p w:rsidR="00BB68E1" w:rsidRPr="00BB68E1" w:rsidRDefault="00BB68E1" w:rsidP="00BB68E1">
      <w:pPr>
        <w:pStyle w:val="Akapitzlist"/>
        <w:numPr>
          <w:ilvl w:val="1"/>
          <w:numId w:val="2"/>
        </w:numPr>
        <w:spacing w:before="120" w:after="12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nowego programu lekowego w załączniku </w:t>
      </w:r>
      <w:r w:rsidRPr="004B4463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 xml:space="preserve"> </w:t>
      </w:r>
      <w:r w:rsidRPr="004B4463">
        <w:rPr>
          <w:rFonts w:ascii="Arial" w:hAnsi="Arial" w:cs="Arial"/>
          <w:sz w:val="24"/>
          <w:szCs w:val="24"/>
        </w:rPr>
        <w:t>4 do zarządzenia, określającego Wykaz programów lekowych</w:t>
      </w:r>
      <w:r>
        <w:rPr>
          <w:rFonts w:ascii="Arial" w:hAnsi="Arial" w:cs="Arial"/>
          <w:sz w:val="24"/>
          <w:szCs w:val="24"/>
        </w:rPr>
        <w:t>.</w:t>
      </w:r>
    </w:p>
    <w:p w:rsidR="00ED289A" w:rsidRDefault="00ED289A" w:rsidP="00BB7254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BB7254" w:rsidRPr="00BB7254" w:rsidRDefault="00BB7254" w:rsidP="00BB7254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BB7254">
        <w:rPr>
          <w:rFonts w:ascii="Arial" w:hAnsi="Arial" w:cs="Arial"/>
          <w:sz w:val="24"/>
          <w:szCs w:val="24"/>
        </w:rPr>
        <w:t>Planowany termin wejścia w życie projektowanego zarządzenia to 1 sierpnia 2018 r. z wyjątkiem:</w:t>
      </w:r>
    </w:p>
    <w:p w:rsidR="00BB7254" w:rsidRPr="00BB7254" w:rsidRDefault="00BB7254" w:rsidP="00BB7254">
      <w:pPr>
        <w:pStyle w:val="Akapitzlist"/>
        <w:numPr>
          <w:ilvl w:val="0"/>
          <w:numId w:val="4"/>
        </w:numPr>
        <w:spacing w:before="120" w:after="12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B7254">
        <w:rPr>
          <w:rFonts w:ascii="Arial" w:hAnsi="Arial" w:cs="Arial"/>
          <w:sz w:val="24"/>
          <w:szCs w:val="24"/>
        </w:rPr>
        <w:t xml:space="preserve">§ 25, dotyczącego współczynnika korygującego, który </w:t>
      </w:r>
      <w:r w:rsidR="00FE7DA3">
        <w:rPr>
          <w:rFonts w:ascii="Arial" w:hAnsi="Arial" w:cs="Arial"/>
          <w:sz w:val="24"/>
          <w:szCs w:val="24"/>
        </w:rPr>
        <w:t>wejdzie</w:t>
      </w:r>
      <w:r w:rsidR="00FE7DA3" w:rsidRPr="00BB7254">
        <w:rPr>
          <w:rFonts w:ascii="Arial" w:hAnsi="Arial" w:cs="Arial"/>
          <w:sz w:val="24"/>
          <w:szCs w:val="24"/>
        </w:rPr>
        <w:t xml:space="preserve"> </w:t>
      </w:r>
      <w:r w:rsidRPr="00BB7254">
        <w:rPr>
          <w:rFonts w:ascii="Arial" w:hAnsi="Arial" w:cs="Arial"/>
          <w:sz w:val="24"/>
          <w:szCs w:val="24"/>
        </w:rPr>
        <w:t>w życie z dniem 1 listopada 2018 r.</w:t>
      </w:r>
    </w:p>
    <w:p w:rsidR="00FC454A" w:rsidRDefault="00BB7254" w:rsidP="00BB7254">
      <w:pPr>
        <w:pStyle w:val="Akapitzlist"/>
        <w:numPr>
          <w:ilvl w:val="0"/>
          <w:numId w:val="4"/>
        </w:numPr>
        <w:spacing w:before="120" w:after="12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BB7254">
        <w:rPr>
          <w:rFonts w:ascii="Arial" w:hAnsi="Arial" w:cs="Arial"/>
          <w:sz w:val="24"/>
          <w:szCs w:val="24"/>
        </w:rPr>
        <w:t xml:space="preserve">§ 6 ust. 3, dotyczącego oceny oferty złożonej w postępowaniu o udzielanie świadczeń, który </w:t>
      </w:r>
      <w:r w:rsidR="00FE7DA3">
        <w:rPr>
          <w:rFonts w:ascii="Arial" w:hAnsi="Arial" w:cs="Arial"/>
          <w:sz w:val="24"/>
          <w:szCs w:val="24"/>
        </w:rPr>
        <w:t>wejdzie</w:t>
      </w:r>
      <w:r w:rsidR="00FE7DA3" w:rsidRPr="00BB7254">
        <w:rPr>
          <w:rFonts w:ascii="Arial" w:hAnsi="Arial" w:cs="Arial"/>
          <w:sz w:val="24"/>
          <w:szCs w:val="24"/>
        </w:rPr>
        <w:t xml:space="preserve"> </w:t>
      </w:r>
      <w:r w:rsidRPr="00BB7254">
        <w:rPr>
          <w:rFonts w:ascii="Arial" w:hAnsi="Arial" w:cs="Arial"/>
          <w:sz w:val="24"/>
          <w:szCs w:val="24"/>
        </w:rPr>
        <w:t>w życie z dniem 1 stycznia 2019 r.</w:t>
      </w:r>
    </w:p>
    <w:p w:rsidR="00BB7254" w:rsidRDefault="00BB7254" w:rsidP="00BB7254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7A4C97" w:rsidRDefault="00AD549B" w:rsidP="00552AAC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AD549B">
        <w:rPr>
          <w:rFonts w:ascii="Arial" w:hAnsi="Arial" w:cs="Arial"/>
          <w:sz w:val="24"/>
          <w:szCs w:val="24"/>
        </w:rPr>
        <w:t xml:space="preserve">Zgodnie z art. 146 ust. 4 ustawy o świadczeniach, Prezes Narodowego Funduszu Zdrowia przed określeniem przedmiotu postępowania w sprawie zawarcia umowy o udzielanie świadczeń opieki zdrowotnej </w:t>
      </w:r>
      <w:r w:rsidR="00277D07">
        <w:rPr>
          <w:rFonts w:ascii="Arial" w:hAnsi="Arial" w:cs="Arial"/>
          <w:sz w:val="24"/>
          <w:szCs w:val="24"/>
        </w:rPr>
        <w:t>zasięg</w:t>
      </w:r>
      <w:r w:rsidR="00FC454A">
        <w:rPr>
          <w:rFonts w:ascii="Arial" w:hAnsi="Arial" w:cs="Arial"/>
          <w:sz w:val="24"/>
          <w:szCs w:val="24"/>
        </w:rPr>
        <w:t>a</w:t>
      </w:r>
      <w:r w:rsidRPr="00AD549B">
        <w:rPr>
          <w:rFonts w:ascii="Arial" w:hAnsi="Arial" w:cs="Arial"/>
          <w:sz w:val="24"/>
          <w:szCs w:val="24"/>
        </w:rPr>
        <w:t xml:space="preserve"> opinii właściwego konsultanta krajowego, a także zgodnie z przepisami wydanymi na podstawie art.</w:t>
      </w:r>
      <w:r w:rsidR="00B20D45">
        <w:rPr>
          <w:rFonts w:ascii="Arial" w:hAnsi="Arial" w:cs="Arial"/>
          <w:sz w:val="24"/>
          <w:szCs w:val="24"/>
        </w:rPr>
        <w:t> </w:t>
      </w:r>
      <w:r w:rsidRPr="00AD549B">
        <w:rPr>
          <w:rFonts w:ascii="Arial" w:hAnsi="Arial" w:cs="Arial"/>
          <w:sz w:val="24"/>
          <w:szCs w:val="24"/>
        </w:rPr>
        <w:t>137 ustawy o świadczeniach, zasięga opinii Naczelnej Rady Lekarskiej, Naczelnej Rady Pielęgniarek i Położnych oraz reprezentatywnych organizacji świadczeniodawców.</w:t>
      </w:r>
    </w:p>
    <w:p w:rsidR="00E36DAC" w:rsidRDefault="00E36DAC" w:rsidP="00552AAC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36DAC">
        <w:rPr>
          <w:rFonts w:ascii="Arial" w:hAnsi="Arial" w:cs="Arial"/>
          <w:sz w:val="24"/>
          <w:szCs w:val="24"/>
        </w:rPr>
        <w:t>Omówienie wyników konsultacji projektu zarządzenia znajduje się w OSR.</w:t>
      </w:r>
    </w:p>
    <w:p w:rsidR="00141A5B" w:rsidRDefault="00141A5B" w:rsidP="00552AAC">
      <w:pPr>
        <w:spacing w:before="120"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141A5B" w:rsidSect="00FD5356">
      <w:pgSz w:w="11906" w:h="16838"/>
      <w:pgMar w:top="1276" w:right="1416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721A9"/>
    <w:multiLevelType w:val="hybridMultilevel"/>
    <w:tmpl w:val="740C6366"/>
    <w:lvl w:ilvl="0" w:tplc="127EC8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C561817"/>
    <w:multiLevelType w:val="hybridMultilevel"/>
    <w:tmpl w:val="819A66EC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62762510"/>
    <w:multiLevelType w:val="hybridMultilevel"/>
    <w:tmpl w:val="819A66EC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>
    <w:nsid w:val="673527CF"/>
    <w:multiLevelType w:val="hybridMultilevel"/>
    <w:tmpl w:val="30688B74"/>
    <w:lvl w:ilvl="0" w:tplc="30DE43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2F3EC5"/>
    <w:multiLevelType w:val="hybridMultilevel"/>
    <w:tmpl w:val="5EA0A5FC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7">
      <w:start w:val="1"/>
      <w:numFmt w:val="lowerLetter"/>
      <w:lvlText w:val="%2)"/>
      <w:lvlJc w:val="left"/>
      <w:pPr>
        <w:ind w:left="2727" w:hanging="360"/>
      </w:pPr>
    </w:lvl>
    <w:lvl w:ilvl="2" w:tplc="C00E7650">
      <w:start w:val="1"/>
      <w:numFmt w:val="bullet"/>
      <w:lvlText w:val=""/>
      <w:lvlJc w:val="left"/>
      <w:pPr>
        <w:ind w:left="3447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85"/>
    <w:rsid w:val="000119FE"/>
    <w:rsid w:val="000138AF"/>
    <w:rsid w:val="000140C7"/>
    <w:rsid w:val="000B5885"/>
    <w:rsid w:val="000E1AA9"/>
    <w:rsid w:val="00141A5B"/>
    <w:rsid w:val="001422EB"/>
    <w:rsid w:val="00170D38"/>
    <w:rsid w:val="001B332E"/>
    <w:rsid w:val="001E3E67"/>
    <w:rsid w:val="002606AE"/>
    <w:rsid w:val="00277D07"/>
    <w:rsid w:val="002A73C2"/>
    <w:rsid w:val="002B5BFD"/>
    <w:rsid w:val="002F4019"/>
    <w:rsid w:val="0037275B"/>
    <w:rsid w:val="003F429D"/>
    <w:rsid w:val="00403312"/>
    <w:rsid w:val="00462F7C"/>
    <w:rsid w:val="00481083"/>
    <w:rsid w:val="004A35CA"/>
    <w:rsid w:val="004B4463"/>
    <w:rsid w:val="004C4E0D"/>
    <w:rsid w:val="004D6AB1"/>
    <w:rsid w:val="004E65EC"/>
    <w:rsid w:val="00552AAC"/>
    <w:rsid w:val="005826EA"/>
    <w:rsid w:val="005B43C2"/>
    <w:rsid w:val="005C4E3B"/>
    <w:rsid w:val="005E0AF9"/>
    <w:rsid w:val="00693DD2"/>
    <w:rsid w:val="006C4E3C"/>
    <w:rsid w:val="006F1924"/>
    <w:rsid w:val="007576A6"/>
    <w:rsid w:val="00787D56"/>
    <w:rsid w:val="00797267"/>
    <w:rsid w:val="007A4C97"/>
    <w:rsid w:val="007F60E6"/>
    <w:rsid w:val="008668A2"/>
    <w:rsid w:val="009354BA"/>
    <w:rsid w:val="009D4802"/>
    <w:rsid w:val="00A113FC"/>
    <w:rsid w:val="00A30BAB"/>
    <w:rsid w:val="00AD549B"/>
    <w:rsid w:val="00B20D45"/>
    <w:rsid w:val="00B9371F"/>
    <w:rsid w:val="00BB68E1"/>
    <w:rsid w:val="00BB7254"/>
    <w:rsid w:val="00BE54E1"/>
    <w:rsid w:val="00BF7E45"/>
    <w:rsid w:val="00C70656"/>
    <w:rsid w:val="00C86FA6"/>
    <w:rsid w:val="00CA7200"/>
    <w:rsid w:val="00D04816"/>
    <w:rsid w:val="00DE0B36"/>
    <w:rsid w:val="00DF7E2E"/>
    <w:rsid w:val="00E165B1"/>
    <w:rsid w:val="00E36DAC"/>
    <w:rsid w:val="00EC487F"/>
    <w:rsid w:val="00ED289A"/>
    <w:rsid w:val="00ED65C7"/>
    <w:rsid w:val="00ED7177"/>
    <w:rsid w:val="00EF5BAD"/>
    <w:rsid w:val="00EF623F"/>
    <w:rsid w:val="00EF6A54"/>
    <w:rsid w:val="00F52156"/>
    <w:rsid w:val="00F6739A"/>
    <w:rsid w:val="00F863AD"/>
    <w:rsid w:val="00FC454A"/>
    <w:rsid w:val="00FD5356"/>
    <w:rsid w:val="00FE7DA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A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1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A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1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1434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2015-12-30T11:26:00Z</cp:lastPrinted>
  <dcterms:created xsi:type="dcterms:W3CDTF">2018-07-31T13:03:00Z</dcterms:created>
  <dcterms:modified xsi:type="dcterms:W3CDTF">2018-07-31T13:03:00Z</dcterms:modified>
</cp:coreProperties>
</file>