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7878825" Type="http://schemas.openxmlformats.org/officeDocument/2006/relationships/officeDocument" Target="/word/document.xml" /><Relationship Id="coreR3787882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kwalifikacji do leczenia żywieniowego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Nazwisko i imię pacjenta: PESEL: Wiek:</w:t>
            </w:r>
          </w:p>
          <w:p/>
          <w:p>
            <w:pPr>
              <w:jc w:val="left"/>
            </w:pPr>
            <w:r>
              <w:rPr>
                <w:sz w:val="20"/>
              </w:rPr>
              <w:t>Data badania: dzień:........ miesiąc................... rok: .........................</w:t>
            </w:r>
          </w:p>
        </w:tc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0080" w:type="dxa"/>
            <w:gridSpan w:val="9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Rozpoznanie (wg ICD – 10):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"/>
        </w:trPr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07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Przesiewowa ocena stanu odżywienia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NRS lub SGA</w:t>
            </w:r>
          </w:p>
        </w:tc>
        <w:tc>
          <w:tcPr>
            <w:tcW w:w="4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4"/>
        </w:trPr>
        <w:tc>
          <w:tcPr>
            <w:tcW w:w="4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66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Szczegółowa ocena stanu odżywienia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3"/>
        </w:trPr>
        <w:tc>
          <w:tcPr>
            <w:tcW w:w="4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Utrata masy ciała w ciągu ostatnich 3 miesięcy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powyżej 10% masy ciała wyjściowej </w:t>
            </w:r>
          </w:p>
        </w:tc>
        <w:tc>
          <w:tcPr>
            <w:tcW w:w="4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poniżej 10% masy wyjściowej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3"/>
        </w:trPr>
        <w:tc>
          <w:tcPr>
            <w:tcW w:w="4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Białko całkowite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poniżej normy </w:t>
            </w:r>
          </w:p>
        </w:tc>
        <w:tc>
          <w:tcPr>
            <w:tcW w:w="4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norma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3"/>
        </w:trPr>
        <w:tc>
          <w:tcPr>
            <w:tcW w:w="4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Albumina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poniżej normy </w:t>
            </w:r>
          </w:p>
        </w:tc>
        <w:tc>
          <w:tcPr>
            <w:tcW w:w="4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norma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3"/>
        </w:trPr>
        <w:tc>
          <w:tcPr>
            <w:tcW w:w="4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Cholesterol całkowity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poniżej normy </w:t>
            </w:r>
          </w:p>
        </w:tc>
        <w:tc>
          <w:tcPr>
            <w:tcW w:w="4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norma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349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Możliwe skuteczne odżywianie doustne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□ nie</w:t>
            </w:r>
          </w:p>
        </w:tc>
        <w:tc>
          <w:tcPr>
            <w:tcW w:w="4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żywieniowe dojelitowe wypełnić pkt. 3, 4, 7-9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3"/>
        </w:trPr>
        <w:tc>
          <w:tcPr>
            <w:tcW w:w="349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Możliwe skuteczne żywienie drogą przewodu pokarmowego</w:t>
            </w:r>
          </w:p>
        </w:tc>
        <w:tc>
          <w:tcPr>
            <w:tcW w:w="2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□ nie</w:t>
            </w:r>
          </w:p>
        </w:tc>
        <w:tc>
          <w:tcPr>
            <w:tcW w:w="4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żywieniowe pozajelitowe wypełnić pkt. 5-9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Wskazania do leczenia żywieniowego dojelitowego</w:t>
            </w:r>
          </w:p>
        </w:tc>
        <w:tc>
          <w:tcPr>
            <w:tcW w:w="799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□ dysfagia</w:t>
            </w:r>
          </w:p>
          <w:p>
            <w:pPr>
              <w:jc w:val="left"/>
            </w:pPr>
            <w:r>
              <w:rPr>
                <w:sz w:val="20"/>
              </w:rPr>
              <w:t>□ niedrożność górnej części przewodu pokarmowego</w:t>
            </w:r>
          </w:p>
          <w:p>
            <w:pPr>
              <w:jc w:val="left"/>
            </w:pPr>
            <w:r>
              <w:rPr>
                <w:sz w:val="20"/>
              </w:rPr>
              <w:t>□ śpiączka niemetaboliczna</w:t>
            </w:r>
          </w:p>
          <w:p>
            <w:pPr>
              <w:jc w:val="left"/>
            </w:pPr>
            <w:r>
              <w:rPr>
                <w:sz w:val="20"/>
              </w:rPr>
              <w:t>□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6"/>
        </w:trPr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4. 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Dostęp dojelitowy</w:t>
            </w:r>
          </w:p>
        </w:tc>
        <w:tc>
          <w:tcPr>
            <w:tcW w:w="799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zgłębnik: □ nosowo – żołądkowy, □ nosowo – dwunastniczy, □ nosowo – jelitowy</w:t>
            </w:r>
          </w:p>
          <w:p>
            <w:pPr>
              <w:jc w:val="left"/>
            </w:pPr>
            <w:r>
              <w:rPr>
                <w:sz w:val="20"/>
              </w:rPr>
              <w:t xml:space="preserve">□ gastrostomia …………………………………........... </w:t>
            </w:r>
          </w:p>
          <w:p>
            <w:pPr>
              <w:jc w:val="left"/>
            </w:pPr>
            <w:r>
              <w:rPr>
                <w:sz w:val="20"/>
              </w:rPr>
              <w:t>□ jejunostomia ……………………………………......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Wskazania do leczenia żywieniowego pozajelitowego</w:t>
            </w:r>
          </w:p>
        </w:tc>
        <w:tc>
          <w:tcPr>
            <w:tcW w:w="799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□ niedożywienie</w:t>
            </w:r>
          </w:p>
          <w:p>
            <w:pPr>
              <w:jc w:val="left"/>
            </w:pPr>
            <w:r>
              <w:rPr>
                <w:sz w:val="20"/>
              </w:rPr>
              <w:t>□ okres okołooperacyjny u dorosłych</w:t>
            </w:r>
          </w:p>
          <w:p>
            <w:pPr>
              <w:jc w:val="left"/>
            </w:pPr>
            <w:r>
              <w:rPr>
                <w:sz w:val="20"/>
              </w:rPr>
              <w:t>□ wyniszczenie (BMI &lt;17 )</w:t>
            </w:r>
          </w:p>
          <w:p>
            <w:pPr>
              <w:jc w:val="left"/>
            </w:pPr>
            <w:r>
              <w:rPr>
                <w:sz w:val="20"/>
              </w:rPr>
              <w:t>□ niedożywienie (BMI 17-19) bez możliwości wykorzystania przewodu pok. &gt; 5 dni</w:t>
            </w:r>
          </w:p>
          <w:p>
            <w:pPr>
              <w:jc w:val="left"/>
            </w:pPr>
            <w:r>
              <w:rPr>
                <w:sz w:val="20"/>
              </w:rPr>
              <w:t>□ BMI ≥ 19 bez możliwości wykorzystania przewodu pok. &gt; 7 dni</w:t>
            </w:r>
          </w:p>
          <w:p>
            <w:pPr>
              <w:jc w:val="left"/>
            </w:pPr>
            <w:r>
              <w:rPr>
                <w:sz w:val="20"/>
              </w:rPr>
              <w:t>□ powikłania pooperacyjne bez możliwości skutecznego odżywiania doustnego</w:t>
            </w:r>
          </w:p>
          <w:p>
            <w:pPr>
              <w:jc w:val="left"/>
            </w:pPr>
            <w:r>
              <w:rPr>
                <w:sz w:val="20"/>
              </w:rPr>
              <w:t>□ reoperacja w okresie 30 dni po poprzedniej operacji</w:t>
            </w:r>
          </w:p>
          <w:p>
            <w:pPr>
              <w:jc w:val="left"/>
            </w:pPr>
            <w:r>
              <w:rPr>
                <w:sz w:val="20"/>
              </w:rPr>
              <w:t>□ niewydolność przewodu pokarmowego ostra lub przewlekła</w:t>
            </w:r>
          </w:p>
          <w:p>
            <w:pPr>
              <w:jc w:val="left"/>
            </w:pPr>
            <w:r>
              <w:rPr>
                <w:sz w:val="20"/>
              </w:rPr>
              <w:t xml:space="preserve">□ inne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7"/>
        </w:trPr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6. 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Dostęp pozajelitowy</w:t>
            </w:r>
          </w:p>
        </w:tc>
        <w:tc>
          <w:tcPr>
            <w:tcW w:w="799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□ żyły obwodowe, □ PICC, □ żyła centralna</w:t>
            </w:r>
          </w:p>
          <w:p>
            <w:pPr>
              <w:jc w:val="left"/>
            </w:pPr>
            <w:r>
              <w:rPr>
                <w:sz w:val="20"/>
              </w:rPr>
              <w:t>□ cewnik nietunelizowany, □ port</w:t>
            </w:r>
          </w:p>
          <w:p>
            <w:pPr>
              <w:jc w:val="left"/>
            </w:pPr>
            <w:r>
              <w:rPr>
                <w:sz w:val="20"/>
              </w:rPr>
              <w:t>□ cewnik permanentny, typ cewnika …….…………………………………………..........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0"/>
        </w:trPr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Cel leczenia żywieniowego:</w:t>
            </w:r>
          </w:p>
        </w:tc>
        <w:tc>
          <w:tcPr>
            <w:tcW w:w="799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□ utrzymanie stanu odżywienia, □ poprawa stanu odżywienia,</w:t>
            </w:r>
          </w:p>
          <w:p>
            <w:pPr>
              <w:jc w:val="left"/>
            </w:pPr>
            <w:r>
              <w:rPr>
                <w:sz w:val="20"/>
              </w:rPr>
              <w:t>□ leczenie choroby podstawowej lub jej powikłań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7"/>
        </w:trPr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Ocena ryzyka powikłań metabolicznych lub zespół ponownego odżywienia:</w:t>
            </w:r>
          </w:p>
        </w:tc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□ małe </w:t>
            </w:r>
          </w:p>
        </w:tc>
        <w:tc>
          <w:tcPr>
            <w:tcW w:w="663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□ duże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4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Dni leczenia żywieniowego:</w:t>
            </w:r>
          </w:p>
        </w:tc>
        <w:tc>
          <w:tcPr>
            <w:tcW w:w="799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dojelitowe w rehabilitacji dni ......................................................................................</w:t>
            </w:r>
          </w:p>
          <w:p>
            <w:pPr>
              <w:jc w:val="left"/>
            </w:pPr>
            <w:r>
              <w:rPr>
                <w:sz w:val="20"/>
              </w:rPr>
              <w:t>kompletne żywienie pozajelitowe w rehabilitacji dni 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9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3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nadruk lub pieczątka zawierająca</w:t>
            </w:r>
          </w:p>
          <w:p>
            <w:pPr>
              <w:jc w:val="left"/>
            </w:pPr>
            <w:r>
              <w:rPr>
                <w:i w:val="1"/>
                <w:sz w:val="20"/>
              </w:rPr>
              <w:t>imię i nazwisko lekarza kwalifikującego,</w:t>
            </w:r>
          </w:p>
          <w:p>
            <w:pPr>
              <w:jc w:val="left"/>
            </w:pPr>
            <w:r>
              <w:rPr>
                <w:i w:val="1"/>
                <w:sz w:val="20"/>
              </w:rPr>
              <w:t>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2022-10-28T11:53:12Z</dcterms:created>
  <cp:lastModifiedBy>Kociubowska Ewa</cp:lastModifiedBy>
  <dcterms:modified xsi:type="dcterms:W3CDTF">2022-11-02T11:02:46Z</dcterms:modified>
  <cp:revision>32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