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465865E" Type="http://schemas.openxmlformats.org/officeDocument/2006/relationships/officeDocument" Target="/word/document.xml" /><Relationship Id="coreR7465865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4b do zarządzenia Nr 195/2020/DSOZ</w:t>
        <w:br w:type="textWrapping"/>
        <w:t>Prezesa Narodowego Funduszu Zdrowia</w:t>
        <w:br w:type="textWrapping"/>
        <w:t>z dnia 11 grudnia 2020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WZÓR</w:t>
        <w:br w:type="textWrapping"/>
        <w:t>Zaburzenia funkcji poznawczo – behawioralnych oraz motoryczne zaburzenia czynności mowy oraz połykania – po nabytych uszkodzeniach mózgu</w:t>
        <w:br w:type="textWrapping"/>
        <w:t>(neurologia chorych dorosłych)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 pacjenta 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17"/>
        </w:trPr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 pacjenta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31"/>
        </w:trPr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 Typ dysfunkcji i skala głębokości zaburzenia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50"/>
        </w:trPr>
        <w:tc>
          <w:tcPr>
            <w:tcW w:w="8250" w:type="dxa"/>
            <w:gridSpan w:val="2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Rodzaj dysfunkcji</w:t>
            </w:r>
          </w:p>
        </w:tc>
        <w:tc>
          <w:tcPr>
            <w:tcW w:w="1830" w:type="dxa"/>
            <w:gridSpan w:val="5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Stopień nasilenia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50" w:type="dxa"/>
            <w:gridSpan w:val="2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A. Zaburzenia mowy</w:t>
            </w:r>
          </w:p>
        </w:tc>
        <w:tc>
          <w:tcPr>
            <w:tcW w:w="45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50" w:type="dxa"/>
            <w:gridSpan w:val="2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B. Zaburzenia językowe</w:t>
            </w:r>
          </w:p>
        </w:tc>
        <w:tc>
          <w:tcPr>
            <w:tcW w:w="45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50" w:type="dxa"/>
            <w:gridSpan w:val="2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C. Zaburzenia komunikacji interpersonalnej (inne niż dyzartria i afazja)</w:t>
            </w:r>
          </w:p>
        </w:tc>
        <w:tc>
          <w:tcPr>
            <w:tcW w:w="45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50" w:type="dxa"/>
            <w:gridSpan w:val="2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D. Zaburzenia systemów uwagi</w:t>
            </w:r>
          </w:p>
        </w:tc>
        <w:tc>
          <w:tcPr>
            <w:tcW w:w="45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50" w:type="dxa"/>
            <w:gridSpan w:val="2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E. Zaburzenia funkcji pamięciowych</w:t>
            </w:r>
          </w:p>
        </w:tc>
        <w:tc>
          <w:tcPr>
            <w:tcW w:w="45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50" w:type="dxa"/>
            <w:gridSpan w:val="2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F. Zaburzenia wyższej organizacji ruchu (apraksje)</w:t>
            </w:r>
          </w:p>
        </w:tc>
        <w:tc>
          <w:tcPr>
            <w:tcW w:w="45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50" w:type="dxa"/>
            <w:gridSpan w:val="2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G. Zaburzenia percepcyjne (agnozje)</w:t>
            </w:r>
          </w:p>
        </w:tc>
        <w:tc>
          <w:tcPr>
            <w:tcW w:w="45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50" w:type="dxa"/>
            <w:gridSpan w:val="2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H. Zaburzenia systemu wykonawczego (programowania i kontroli świadomych zachowań celowych)</w:t>
            </w:r>
          </w:p>
        </w:tc>
        <w:tc>
          <w:tcPr>
            <w:tcW w:w="45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50" w:type="dxa"/>
            <w:gridSpan w:val="2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I. Zaburzenia emocjonalno - osobowościowe</w:t>
            </w:r>
          </w:p>
        </w:tc>
        <w:tc>
          <w:tcPr>
            <w:tcW w:w="45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250" w:type="dxa"/>
            <w:gridSpan w:val="2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 Zaburzenia połykania (dysfagia)</w:t>
            </w:r>
          </w:p>
        </w:tc>
        <w:tc>
          <w:tcPr>
            <w:tcW w:w="45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30"/>
        </w:trPr>
        <w:tc>
          <w:tcPr>
            <w:tcW w:w="1008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1008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 xml:space="preserve">nadruk lub pieczątka  zawierająca imię i  nazwisko lekarza,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>numer prawa wykonywania zawodu oraz jego podpis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</w:trPr>
        <w:tc>
          <w:tcPr>
            <w:tcW w:w="1008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</w:trPr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A. </w:t>
            </w:r>
          </w:p>
        </w:tc>
        <w:tc>
          <w:tcPr>
            <w:tcW w:w="955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Zaburzenia mowy o charakterze dyzartrii lub apraksji mowy; dotyczą artykulacji, fonacji, prozodii lub motorycznych aspektów czynności mówienia  (terapia realizowana przez neurologopedę)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</w:trPr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B. </w:t>
            </w:r>
          </w:p>
        </w:tc>
        <w:tc>
          <w:tcPr>
            <w:tcW w:w="955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Zaburzenia językowe i mowy (afazje); dotyczą programowania i realizacji wielu różnych czynności językowych i objawiają się zaburzeniami nazywania, powtarzania, tworzenia zdania, przetwarzania informacji językowej i rozumienia języka na różnym poziomie złożoności wypowiedzi; dotyczą języka mówionego oraz pisanego (terapia prowadzona przez neuropsychologa lub neurologopedę)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</w:trPr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C. </w:t>
            </w:r>
          </w:p>
        </w:tc>
        <w:tc>
          <w:tcPr>
            <w:tcW w:w="955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Zaburzenia komunikacji interpersonalnej (inne niż afazja i dyzartria); brak kompetencji do nawiązywania jakiegokolwiek kontaktu międzyosobniczego, trudności z wyrażaniem komunikatów przy użyciu gestykulacji, mimiki lub innych pozajęzykowych środków wyrazu; trudności ze zrozumieniem wymienionych form ekspresji wyrażanej przez innych. Deficyty łagodniejsze dotyczą praktycznych aspektów komunikacji takich jak rozumienie kontekstu, przekazu emocjonalnego w komunikacji oraz innych form przetwarzania informacji językowej w kontekście komunikacji społecznej (terapia prowadzona przez neuropsychologa lub neurologopedę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</w:trPr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D. </w:t>
            </w:r>
          </w:p>
        </w:tc>
        <w:tc>
          <w:tcPr>
            <w:tcW w:w="955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Zaburzenia systemów uwagi. Terapia dotyczy przede wszystkim zespołu zaniedbywania jednostronnego (deficyt nieuwagi stronnej) oraz zaburzeń czujności i podzielności uwagi w wyniku uszkodzenia neuronalnego układu funkcjonalnego dla uwagi (terapia prowadzona przez neuropsychologa)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</w:trPr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E. </w:t>
            </w:r>
          </w:p>
        </w:tc>
        <w:tc>
          <w:tcPr>
            <w:tcW w:w="955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Zaburzenia różnych funkcji pamięciowych; przede wszystkim zespoły amnestyczne w wyniku uszkodzenia obustronnego formacji hipokampa (np. w konsekwencji opryszczkowego zapalenia mózgu), uszkodzenia podstawnego przodomózgowia (np. w konsekwencji pęknięcia tętniaka na tętnicy łączącej przedniej powikłane skurczem naczyniowym) oraz międzymózgowia (np. uszkodzenia ciał suteczkowatych i przedniego wzgórza w wyniku incydentów naczyniowych) (terapia prowadzona przez neuropsychologa)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</w:trPr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F. </w:t>
            </w:r>
          </w:p>
        </w:tc>
        <w:tc>
          <w:tcPr>
            <w:tcW w:w="955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Zaburzenia wyższej organizacji ruchu (apraksje); zaburzenia inicjowania, organizacji przestrzennej oraz pamięci złożonych aktywności ruchowych (terapia prowadzona przez neuropsychologa)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</w:trPr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G. </w:t>
            </w:r>
          </w:p>
        </w:tc>
        <w:tc>
          <w:tcPr>
            <w:tcW w:w="955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Zaburzenia wyższej organizacji spostrzegania; deficyty powstałe w wyniku uszkodzenia asocjacyjnych części kory w zakresie różnych modalności zmysłowych; np. agnozja wzrokowa, słuchowa, astereognozja oraz zaburzenia poznawczego aspektu czynności okulomotorycznej (terapia prowadzona przez neuropsychologa)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</w:trPr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H.</w:t>
            </w:r>
          </w:p>
        </w:tc>
        <w:tc>
          <w:tcPr>
            <w:tcW w:w="955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Dysfunkcje systemu wykonawczego czyli regulującego inicjowanie, programowanie, kontrolę i przewidywanie skutków zachowań celowych; konsekwencje uszkodzeń neuronalnych systemów przedczołowo – podstawnych powstałych w wyniku patologii o różnej etiologii, szczególnie pourazowej (terapia prowadzona przez neuropsychologa)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</w:trPr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I. </w:t>
            </w:r>
          </w:p>
        </w:tc>
        <w:tc>
          <w:tcPr>
            <w:tcW w:w="955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Zaburzenie sfery emocji, afektu i osobowości w konsekwencji nabytego uszkodzenia mózgu; również zaburzenia funkcjonowania emocjonalnego u bliskich osoby z nabytym ciężkim uszkodzeniem mózgu (psychoedukacja terapia wspierająca wobec rodziny chorego) (terapia prowadzona przez neuropsychologa lub psychologa klinicznego - psychoterapeutę)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</w:trPr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J. </w:t>
            </w:r>
          </w:p>
        </w:tc>
        <w:tc>
          <w:tcPr>
            <w:tcW w:w="955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Zaburzenia połykania (dysfagia) związane z dysfunkcją czynności żucia, formowania kęsa i aktywnego kontrolowania procesu połykania w fazie ustnej i gardłowej; wprowadzenie technik specyficznej stymulacji funkcji połykania (terapia prowadzona przez neurologopedę)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</w:trPr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55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</w:trPr>
        <w:tc>
          <w:tcPr>
            <w:tcW w:w="1008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Skala opisu głębokości deficytu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</w:trPr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955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- brak zaburzeń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</w:trPr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955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 - śladowe zaburzenia funkcji, ale nie wpływające zasadniczo na funkcjonowanie w codziennych sytuacjach życiowych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</w:trPr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</w:t>
            </w:r>
          </w:p>
        </w:tc>
        <w:tc>
          <w:tcPr>
            <w:tcW w:w="955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 - lekkie zaburzenia funkcji wpływające na funkcjonowanie w codziennych sytuacjach życiowych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</w:trPr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</w:t>
            </w:r>
          </w:p>
        </w:tc>
        <w:tc>
          <w:tcPr>
            <w:tcW w:w="955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- zaburzenia funkcji w umiarkowanym nasileniu zakłócające wyraźnie codzienne funkcjonowanie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</w:trPr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</w:t>
            </w:r>
          </w:p>
        </w:tc>
        <w:tc>
          <w:tcPr>
            <w:tcW w:w="955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 - zaburzenie funkcji w stopniu ciężkim uniemożliwiające samodzielne funkcjonowanie w sytuacjach codziennych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magdalena.rogala</dc:creator>
  <dcterms:created xsi:type="dcterms:W3CDTF">2022-09-06T15:01:01Z</dcterms:created>
  <cp:lastModifiedBy>Kociubowska Ewa</cp:lastModifiedBy>
  <dcterms:modified xsi:type="dcterms:W3CDTF">2022-11-02T11:02:46Z</dcterms:modified>
  <cp:revision>151</cp:revision>
  <dc:subject>w sprawie ogłoszenia jednolitego tekstu zarządzenia w sprawie określenia warunków zawierania i realizacji umów w rodzajach rehabilitacja lecznicza oraz programy zdrowotne w zakresie świadczeń - leczenie dzieci i dorosłych ze śpiączką</dc:subject>
  <dc:title>Obwieszczenie</dc:title>
</cp:coreProperties>
</file>