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04172F1" Type="http://schemas.openxmlformats.org/officeDocument/2006/relationships/officeDocument" Target="/word/document.xml" /><Relationship Id="coreR104172F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34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chorób śródmiąższowych płuc oraz weryfikację jego skuteczności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344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b w:val="1"/>
                <w:sz w:val="20"/>
              </w:rPr>
              <w:t>Charakterystyka świadczenia</w:t>
            </w:r>
          </w:p>
        </w:tc>
      </w:tr>
      <w:tr>
        <w:trPr>
          <w:wBefore w:w="0" w:type="dxa"/>
          <w:trHeight w:hRule="atLeast" w:val="459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 xml:space="preserve">kwalifikacja do leczenia chorób śródmiąższowych płuc oraz weryfikacja jego skuteczności </w:t>
            </w:r>
          </w:p>
        </w:tc>
      </w:tr>
      <w:tr>
        <w:trPr>
          <w:wBefore w:w="0" w:type="dxa"/>
          <w:trHeight w:hRule="atLeast" w:val="973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1) Leczenie pacjentów z chorobą śródmiąższową płuc.</w:t>
            </w:r>
          </w:p>
        </w:tc>
      </w:tr>
      <w:tr>
        <w:trPr>
          <w:wBefore w:w="0" w:type="dxa"/>
          <w:trHeight w:hRule="atLeast" w:val="1550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1) D 86 sarkoidoza;</w:t>
            </w:r>
          </w:p>
          <w:p>
            <w:r>
              <w:rPr>
                <w:sz w:val="20"/>
              </w:rPr>
              <w:t>2) J 67 zapalenie płuc związane z nadwrażliwością na pył organiczny;</w:t>
            </w:r>
          </w:p>
          <w:p>
            <w:r>
              <w:rPr>
                <w:sz w:val="20"/>
              </w:rPr>
              <w:t>3) J 84.1 inne choroby tkanki śródmiąższowej płuc ze zwłóknieniem;</w:t>
            </w:r>
          </w:p>
          <w:p>
            <w:r>
              <w:rPr>
                <w:sz w:val="20"/>
              </w:rPr>
              <w:t>4) J 84.8 inne określone choroby tkanki śródmiąższowej płuc;</w:t>
            </w:r>
          </w:p>
          <w:p>
            <w:r>
              <w:rPr>
                <w:sz w:val="20"/>
              </w:rPr>
              <w:t>5) J 84.9 choroba tkanki śródmiąższowej płuc nieokreślona (śródmiąższowe zapalenie płuc BNO).</w:t>
            </w:r>
          </w:p>
        </w:tc>
      </w:tr>
      <w:tr>
        <w:trPr>
          <w:wBefore w:w="0" w:type="dxa"/>
          <w:trHeight w:hRule="atLeast" w:val="344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nie dotyczy</w:t>
            </w:r>
          </w:p>
        </w:tc>
      </w:tr>
      <w:tr>
        <w:trPr>
          <w:wBefore w:w="0" w:type="dxa"/>
          <w:trHeight w:hRule="atLeast" w:val="465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Zespół Koordynacyjny ds. Leczenia Chorób Śródmiąższowych Płuc</w:t>
            </w:r>
          </w:p>
        </w:tc>
      </w:tr>
      <w:tr>
        <w:trPr>
          <w:wBefore w:w="0" w:type="dxa"/>
          <w:trHeight w:hRule="atLeast" w:val="465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Instytut Gruźlicy i Chorób Płuc</w:t>
            </w:r>
          </w:p>
          <w:p>
            <w:r>
              <w:rPr>
                <w:sz w:val="20"/>
              </w:rPr>
              <w:t>ul. Płocka 26</w:t>
            </w:r>
          </w:p>
          <w:p>
            <w:r>
              <w:rPr>
                <w:sz w:val="20"/>
              </w:rPr>
              <w:t>01-138 Warszawa</w:t>
            </w:r>
          </w:p>
        </w:tc>
      </w:tr>
      <w:tr>
        <w:trPr>
          <w:wBefore w:w="0" w:type="dxa"/>
          <w:trHeight w:hRule="atLeast" w:val="375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lekarze specjaliści w dziedzinie chorób płuc</w:t>
            </w:r>
          </w:p>
        </w:tc>
      </w:tr>
      <w:tr>
        <w:trPr>
          <w:wBefore w:w="0" w:type="dxa"/>
          <w:trHeight w:hRule="atLeast" w:val="1260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1) kryteria kwalifikacji zostały określone w opisie programu lekowego wymienionego w pkt 1.2;</w:t>
            </w:r>
          </w:p>
          <w:p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rPr>
          <w:wBefore w:w="0" w:type="dxa"/>
          <w:trHeight w:hRule="atLeast" w:val="600"/>
        </w:trPr>
        <w:tc>
          <w:tcPr>
            <w:tcW w:w="4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r>
              <w:rPr>
                <w:sz w:val="20"/>
              </w:rPr>
              <w:t>89.00 - porada lekarska, konsultacja, asysta</w:t>
            </w:r>
          </w:p>
        </w:tc>
      </w:tr>
      <w:tr>
        <w:trPr>
          <w:wBefore w:w="0" w:type="dxa"/>
        </w:trPr>
        <w:tc>
          <w:tcPr>
            <w:tcW w:w="10080" w:type="dxa"/>
            <w:gridSpan w:val="4"/>
            <w:tcBorders>
              <w:top w:val="single" w:sz="4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/>
        </w:tc>
      </w:tr>
      <w:tr>
        <w:trPr>
          <w:gridAfter w:val="1"/>
          <w:wBefore w:w="0" w:type="dxa"/>
          <w:wAfter w:w="225" w:type="dxa"/>
        </w:trPr>
        <w:tc>
          <w:tcPr>
            <w:tcW w:w="9855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/>
        </w:tc>
      </w:tr>
    </w:tbl>
    <w:p>
      <w:pPr>
        <w:jc w:val="center"/>
        <w:rPr>
          <w:b w:val="1"/>
          <w:sz w:val="24"/>
        </w:rPr>
      </w:pPr>
      <w:r>
        <w:rPr>
          <w:b w:val="1"/>
          <w:sz w:val="24"/>
        </w:rPr>
        <w:br w:type="page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10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</w:pPr>
            <w:r>
              <w:rPr>
                <w:b w:val="1"/>
                <w:sz w:val="24"/>
                <w:shd w:val="clear" w:color="auto" w:fill="FFFFFF"/>
              </w:rPr>
              <w:t>2. Wzory dokumentów niezbędnych dla kwalifikacji pacjenta do leczenia w programie lekowym Leczenie pacjentów z chorobą śródmiąższową płuc (ICD-10: D86, J67.0-J67.9, J84.1, J84.8, J84.9, J99.0, J.99.1, M34)</w:t>
            </w:r>
          </w:p>
        </w:tc>
      </w:tr>
    </w:tbl>
    <w:p/>
    <w:tbl>
      <w:tblPr>
        <w:tblStyle w:val="T1"/>
        <w:tblW w:w="0" w:type="auto"/>
        <w:tblBorders>
          <w:insideH w:val="none" w:sz="0" w:space="0" w:shadow="0" w:frame="0" w:color="000000"/>
          <w:insideV w:val="none" w:sz="0" w:space="0" w:shadow="0" w:frame="0" w:color="000000"/>
        </w:tblBorders>
        <w:tblLayout w:type="fixed"/>
        <w:tblLook w:val="04A0"/>
      </w:tblPr>
      <w:tblGrid/>
      <w:t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</w:tr>
    </w:tbl>
    <w:p/>
    <w:p>
      <w:pPr>
        <w:spacing w:before="120" w:after="120" w:beforeAutospacing="0" w:afterAutospacing="0"/>
        <w:ind w:firstLine="227"/>
        <w:jc w:val="both"/>
        <w:rPr>
          <w:b w:val="1"/>
        </w:rPr>
      </w:pPr>
      <w:r>
        <w:rPr>
          <w:b w:val="1"/>
          <w:sz w:val="24"/>
        </w:rPr>
        <w:t>Wzór wniosku o kwalifikację do leczenia w programie Leczenie pacjentów z chorobą śródmiąższową płuc (ICD-10: D86, J67.0-J67.9, J84.1, J84.8, J84.9, J99.0, J.99.1, M34)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b w:val="1"/>
        </w:rPr>
        <w:t>Dane personalne pacjenta i nazwa jednostki kierującej: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540"/>
        </w:trPr>
        <w:tc>
          <w:tcPr>
            <w:tcW w:w="53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>PESEL</w:t>
            </w: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Data wystawienia wniosku: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wystawiający wniosek:</w:t>
      </w:r>
    </w:p>
    <w:tbl>
      <w:tblPr>
        <w:tblStyle w:val="T1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Look w:val="04A0"/>
      </w:tblPr>
      <w:tblGrid/>
      <w:tr>
        <w:tc>
          <w:tcPr>
            <w:tcW w:w="20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</w:tr>
      <w:tr>
        <w:tc>
          <w:tcPr>
            <w:tcW w:w="20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</w:tr>
      <w:tr>
        <w:tc>
          <w:tcPr>
            <w:tcW w:w="20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Dane do kwalifikacji: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Kod ICD-10 choroby: ………………………..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Wiek pacjenta: 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Wynik badania TKWR potwierdzający rozpoznanie choroby śródmiąższowej płuc: 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Ocena wydolności narządowej określona na podstawie wyników badań: 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Wykluczenie ciąży i karmienia piersią oraz zgoda na prowadzenia antykoncepcji zgodnie z ChPL:………….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24"/>
              </w:rPr>
              <w:t>NIE</w:t>
            </w: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1. </w:t>
            </w:r>
            <w:r>
              <w:rPr>
                <w:sz w:val="24"/>
              </w:rPr>
              <w:t>FVC ≥ 40% wartości należnej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2. </w:t>
            </w:r>
            <w:r>
              <w:rPr>
                <w:sz w:val="24"/>
              </w:rPr>
              <w:t>pojemność dyfuzyjna płuc TLco powyżej 30% wartości należnej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3.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4.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10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5. </w:t>
            </w:r>
            <w:r>
              <w:rPr>
                <w:sz w:val="24"/>
              </w:rPr>
              <w:t>pacjent spełnia jedno z poniższych szczegółowych kryteriów kwalifikacji do PF-ILD:</w:t>
            </w: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both"/>
              <w:rPr>
                <w:color w:val="000000"/>
                <w:u w:val="none" w:color="000000"/>
              </w:rPr>
            </w:pPr>
            <w:r>
              <w:t>a) zmiany o typie włóknienia w badaniu TKWR zajmują co najmniej 10% objętości płuc oraz udokumentowano w okresie ostatnich 24 m-cy:</w:t>
            </w:r>
          </w:p>
          <w:p>
            <w:pPr>
              <w:jc w:val="both"/>
            </w:pPr>
            <w:r>
              <w:t xml:space="preserve">– spadek wartości FVC o co najmniej 10%, lub </w:t>
            </w:r>
          </w:p>
          <w:p>
            <w:pPr>
              <w:jc w:val="both"/>
            </w:pPr>
            <w:r>
              <w:t>– spadek wartości FVC o co najmniej 5% oraz spadek wartości TLCO o co najmniej 15%, lub</w:t>
            </w:r>
          </w:p>
          <w:p>
            <w:pPr>
              <w:jc w:val="both"/>
            </w:pPr>
            <w:r>
              <w:t>– spadek wartości FVC o co najmniej 5% oraz progresję włóknienia płuc w badaniu TKWR, lub</w:t>
            </w:r>
          </w:p>
          <w:p>
            <w:pPr>
              <w:jc w:val="both"/>
            </w:pPr>
            <w:r>
              <w:t xml:space="preserve">– spadek wartości FVC o co najmniej 5% oraz nasilenie objawów klinicznych, lub </w:t>
            </w:r>
          </w:p>
          <w:p>
            <w:pPr>
              <w:jc w:val="both"/>
            </w:pPr>
            <w:r>
              <w:t>– progresję włóknienia płuc w badaniu TKWR oraz nasilenie objawów klinicznych,</w:t>
            </w:r>
          </w:p>
          <w:p>
            <w:pPr>
              <w:jc w:val="both"/>
            </w:pPr>
            <w:r>
              <w:t>Mimo stosowania rekomendowanego leczenia;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both"/>
              <w:rPr>
                <w:color w:val="000000"/>
                <w:u w:val="none" w:color="000000"/>
              </w:rPr>
            </w:pPr>
            <w:r>
              <w:t>b) zmiany o typie włóknienia w badaniu TKWR zajmują co najmniej 10% objętości płuc oraz wartość FVC stanowi &lt; 70% wartości należnej;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2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both"/>
              <w:rPr>
                <w:color w:val="000000"/>
                <w:u w:val="none" w:color="000000"/>
              </w:rPr>
            </w:pPr>
            <w:r>
              <w:t>c) zmiany o typie włóknienia w badaniu TKWR zajmują co najmniej 20% objętości płuc.</w:t>
            </w:r>
          </w:p>
        </w:tc>
        <w:tc>
          <w:tcPr>
            <w:tcW w:w="10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Pacjent nie spełnia kryteriów wyłączenia z programu…………….………..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.......................................................................................................................................................</w:t>
      </w:r>
    </w:p>
    <w:tbl>
      <w:tblPr>
        <w:tblStyle w:val="T1"/>
        <w:tblW w:w="0" w:type="auto"/>
        <w:tblBorders>
          <w:insideH w:val="none" w:sz="0" w:space="0" w:shadow="0" w:frame="0" w:color="000000"/>
          <w:insideV w:val="none" w:sz="0" w:space="0" w:shadow="0" w:frame="0" w:color="000000"/>
        </w:tblBorders>
        <w:tblLayout w:type="fixed"/>
        <w:tblLook w:val="04A0"/>
      </w:tblPr>
      <w:tblGrid/>
      <w:t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4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Data: ………………………… </w:t>
        <w:tab/>
        <w:tab/>
        <w:tab/>
        <w:tab/>
        <w:t>……………..………………………………</w:t>
      </w:r>
    </w:p>
    <w:p>
      <w:pPr>
        <w:spacing w:before="120" w:after="120" w:beforeAutospacing="0" w:afterAutospacing="0"/>
        <w:ind w:firstLine="227"/>
        <w:jc w:val="right"/>
        <w:rPr>
          <w:color w:val="000000"/>
          <w:sz w:val="18"/>
          <w:u w:val="none" w:color="000000"/>
        </w:rPr>
      </w:pPr>
      <w:r>
        <w:rPr>
          <w:color w:val="000000"/>
          <w:sz w:val="18"/>
          <w:u w:val="none" w:color="000000"/>
        </w:rPr>
        <w:t>nadruk lub pieczątka zawierające imię i nazwisko lekarza,</w:t>
      </w:r>
    </w:p>
    <w:p>
      <w:pPr>
        <w:spacing w:before="120" w:after="120" w:beforeAutospacing="0" w:afterAutospacing="0"/>
        <w:ind w:firstLine="227"/>
        <w:jc w:val="right"/>
        <w:rPr>
          <w:color w:val="000000"/>
          <w:sz w:val="18"/>
          <w:u w:val="none" w:color="000000"/>
        </w:rPr>
      </w:pPr>
      <w:r>
        <w:rPr>
          <w:color w:val="000000"/>
          <w:sz w:val="18"/>
          <w:u w:val="none" w:color="000000"/>
        </w:rPr>
        <w:t>numer prawa wykonywania zawodu oraz jego podpis</w:t>
      </w:r>
    </w:p>
    <w:p>
      <w:pPr>
        <w:spacing w:before="120" w:after="120" w:beforeAutospacing="0" w:afterAutospacing="0"/>
        <w:ind w:firstLine="227"/>
        <w:jc w:val="right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</w:p>
    <w:p>
      <w:pPr>
        <w:spacing w:before="120" w:after="120" w:beforeAutospacing="0" w:afterAutospacing="0"/>
        <w:ind w:firstLine="227"/>
        <w:jc w:val="righ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 dnia……………………..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center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Decyzja dotycząca kwalifikacji do leczenia w programie lekowym Leczenie pacjentów z chorobą śródmiąższową płuc 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Przewodniczący Zespołu Koordynacyjnego ds. Leczenia Chorób Śródmiąższowych Płuc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Dotyczy pacjenta: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Imię i nazwisko: ……………………………………………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PESEL: ………………………….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wnioskujący: ………………………………………………………………</w:t>
        <w:br w:type="textWrapping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Lek: Nintedanib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Decyzja: Pozytywna/Negatywna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Podpis Przewodniczącego Zespołu Koordynacyjnego ds. Leczenia Pacjentów z Chorobą Śródmiąższową Płuc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sz w:val="18"/>
          <w:u w:val="none" w:color="000000"/>
        </w:rPr>
      </w:pPr>
      <w:r>
        <w:rPr>
          <w:color w:val="000000"/>
          <w:sz w:val="18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  <w:r>
        <w:rPr>
          <w:b w:val="1"/>
          <w:caps w:val="1"/>
          <w:color w:val="000000"/>
          <w:u w:val="none" w:color="000000"/>
        </w:rPr>
        <w:t>2.1 Z</w:t>
      </w:r>
      <w:r>
        <w:rPr>
          <w:b w:val="1"/>
          <w:color w:val="000000"/>
          <w:u w:val="none" w:color="000000"/>
        </w:rPr>
        <w:t>ałącznik do wniosku o zakwalifikowanie pacjenta do leczenia w programie lekowym Leczenie pacjentów z chorobą śródmiąższową płuc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Zostałam(em) poinformowana(y) o istocie choroby, możliwości wystąpienia objawów niepożądanych i powikłań zastosowanej terapii oraz o możliwości zaprzestania terapii.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Mając powyższe na uwadze, wyrażam zgodę na leczenie nintedanibem oraz zobowiązuję się do przyjmowania tego leku zgodnie z zaleceniami lekarskimi, oraz stawienia się na badania kontrolne w wyznaczonych terminach.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lekarza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sz w:val="18"/>
          <w:u w:val="none" w:color="000000"/>
        </w:rPr>
      </w:pPr>
      <w:r>
        <w:rPr>
          <w:color w:val="000000"/>
          <w:sz w:val="18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p>
      <w:pPr>
        <w:spacing w:before="120" w:after="120" w:beforeAutospacing="0" w:afterAutospacing="0"/>
        <w:rPr>
          <w:color w:val="000000"/>
          <w:u w:val="none" w:color="000000"/>
        </w:rPr>
      </w:pP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2023-11-17T12:57:08Z</dcterms:created>
  <cp:lastModifiedBy>Michalak Alicja</cp:lastModifiedBy>
  <dcterms:modified xsi:type="dcterms:W3CDTF">2023-11-30T12:40:40Z</dcterms:modified>
  <cp:revision>151</cp:revision>
</cp:coreProperties>
</file>