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BF84BB1" Type="http://schemas.openxmlformats.org/officeDocument/2006/relationships/officeDocument" Target="/word/document.xml" /><Relationship Id="coreRBF84BB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30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aksykabtagenem cyloleucelu albo tisagenlecleucelem albo breksukabtagenem autoleucelu w programie lekowym Leczenie chorych na chłoniaki B-komórkowe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aksykabtagenem cyloleucelu albo tisagenlecleucelem albo breksukabtagenem autoleucelu chorych na chłoniaki z dużych komórek B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C82 - chłoniaki nieziarnicze guzkowe</w:t>
            </w:r>
          </w:p>
          <w:p>
            <w:pPr>
              <w:jc w:val="left"/>
            </w:pPr>
            <w:r>
              <w:rPr>
                <w:sz w:val="20"/>
              </w:rPr>
              <w:t>C83 – chłoniaki nieziarnicze rozlane</w:t>
            </w:r>
          </w:p>
          <w:p>
            <w:pPr>
              <w:jc w:val="left"/>
            </w:pPr>
            <w:r>
              <w:rPr>
                <w:sz w:val="20"/>
              </w:rPr>
              <w:t>C85 – inne i nieokreślone postacie chłoniaków nieziarniczych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chłoniaki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 Szpital Kliniczny w Poznaniu</w:t>
            </w:r>
          </w:p>
          <w:p>
            <w:pPr>
              <w:jc w:val="left"/>
            </w:pPr>
            <w:r>
              <w:rPr>
                <w:sz w:val="20"/>
              </w:rPr>
              <w:t>60-355 Poznań</w:t>
            </w:r>
          </w:p>
          <w:p>
            <w:pPr>
              <w:jc w:val="left"/>
            </w:pPr>
            <w:r>
              <w:rPr>
                <w:sz w:val="20"/>
              </w:rPr>
              <w:t>ul. Przybyszewskiego 49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2. </w:t>
            </w:r>
            <w:r>
              <w:rPr>
                <w:b w:val="1"/>
              </w:rPr>
              <w:t>Wzory dokumentów niezbędnych dla kwalifikacji pacjenta do terapii breksukabtagenem autoleucelu przez Zespół Koordynacyjny ds. CAR-T w leczeniu chorych na chłoniaki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  <w:lang w:val="pl-PL" w:bidi="pl-PL" w:eastAsia="pl-PL"/>
        </w:rPr>
        <w:br w:type="textWrapping"/>
        <w:br w:type="textWrapping"/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Wniosek o zakwalifikowanie pacjenta do leczenia z zastosowaniem terapii breksukabtagenem autoleucelu w programie lekowym Leczenie chorych na chłoniaki B-komórkowe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ab/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Leczenie dotyczy: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pacjenci w wieku od 18 lat z opornym lub nawrotowym chłoniakiem z komórek płaszcza (MCL)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 kwalifikacji do leczenia breksukabtagenem autoleucelu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91"/>
        </w:trPr>
        <w:tc>
          <w:tcPr>
            <w:tcW w:w="8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muszą być spełnione łącznie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NIE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7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potwierdzony histologicznie chłoniak z komórek płaszcza (MLC)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1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Stan sprawności według ECOG 0-1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2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stosowano wcześniej co najmniej dwie linie leczenia systemowego, w tym inhibitor kinazy tyrozynowej Brutona (inhibitor BTK)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1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oporność na leczenie zdefiniowana jako nieosiągnięcie całkowitej remisji (CR) lub częściowej remisji (PR) po ostatniej linii leczenia lub progresja choroby po ostatniej linii leczenia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4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oporność na ostatnią otrzymaną linię leczenia lub wznowa/progresja w ciągu 12 miesięcy od przeszczepienia autologicznych komórek krwiotwórczych (auto-HSCT)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czynność serca, wątroby, nerek oraz płuc pozwalająca w ocenie lekarza prowadzącego na przeprowadzenie terapii;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możliwość zastosowania u leczonych kobiet w wieku rozrodczym oraz mężczyzn (i ich partnerów seksualnych) skutecznych metod antykoncepcji w okresie co najmniej 12 miesięcy po infuzji breksukabtagenu autoleucelu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Przeciwskazania do włączenia do programu: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Nadwrażliwość a którakolwiek substancję pomocniczą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Ciąża lub karmienie piersią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Aktywne niekontrolowane zakażenie systemowe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Aktywna obturacyjna lub restrykcyjna choroba płuc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Aktywna hemoliza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Aktywna koagulopatia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Zakrzepowe zapalenie żył głębokich lub zatorowość płucna w ciągu ostatnich 6 miesięcy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8) Zajęcie ośrodkowego układu nerwowego (OUN) przez chłoniaka lub przez inne choroby obejmujące OUN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9) Zakażenie HIV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10) Aktywne wirusowe zapalenie wątroby typu B,C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11) Aktywna choroba autoimmunologiczna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12) Pierwotny niedobór odporności 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13) aktywna, przewlekła lub ostra choroba przeszczep przeciw gospodarzowi (GvHD) po przeszczepieniu allogenicznych krwiotwórczych komórek macierzystych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14) żywa szczepionka podana w ciągu 6 tygodni przed planowanym rozpoczęciem chemioterapii limfodeplecyjnej;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15) obecność przeciwwskazań do stosowania chemioterapii limfodeplecyjnej z zastosowaniem takich leków, jak: cyklofosfamid i fludarabina;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16) nawrót choroby bez ekspresji CD19 po wcześniejszej terapii anty-CD19;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17) wcześniejsze leczenie CAR-T (anty-CD19).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statusu choroby: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fizykalne i ocena objawów ze strony centralnego układu nerwowego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radiologiczne potwierdzające wznowę lub oporność choroby, z zastosowaniem CT lub NMRlub PET-CT (można wprowadzić opis badania lub dołączyć skan opisu przeprowadzonych badań obrazowych):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płynu mózgowo-rdzeniowego (w uzasadnionych przypadkach)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badania oceniające funkcje innych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Echo serca lub MUGA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Aktywność ALT: ................, AST: …..…...; stężenie bilirubiny:.........................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Stężenie kreatyniny: ................................ ; eGFR: 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Morfologia krwi (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można wprowadzić opis badania lub dołączyć skan opisu przeprowadzonego badania):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Inne: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B: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HBsAg: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anty-HBc: 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anty-HBs: 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HBV DNA (w przypadku dodatnich anty-HBc):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C: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anty-HCV: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HCV RNA (w przypadku dodatnich anty-HCV):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Wyniki badań w kierunku zakażenia wirusem  HIV: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anty-HIV: 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Test ciążowy (u kobiet z możliwością zajścia w ciążę): 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Epikryza: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innych badań oraz informacje o stanie klinicznym istotne z punktu widzenia kwalifikacji do leczenia w programie lekowym: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7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4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z zastosowaniem terapii breksukabtagenem autoleucelu w programie lekowym Leczenie chorych na chłoniaki B-komórkowe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br w:type="textWrapping"/>
        <w:br w:type="textWrapping"/>
        <w:br w:type="textWrapping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CAR-T w leczeniu chorych na chłoniaki: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……………………………………………PESEL: 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Tecartus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Podpis Przewodniczącego Zespołu Koordynacyjnego ds.</w:t>
            </w:r>
            <w:r>
              <w:rPr>
                <w:sz w:val="18"/>
                <w:lang w:val="pl-PL" w:bidi="pl-PL" w:eastAsia="pl-PL"/>
              </w:rPr>
              <w:t xml:space="preserve"> </w:t>
            </w:r>
            <w:r>
              <w:rPr>
                <w:sz w:val="18"/>
              </w:rPr>
              <w:t xml:space="preserve">CAR-T  w leczeniu chorych na chłoniaki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3.1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breksukabtagenem autoleucelu w programie lekowym Leczenie chorych na chłoniaki B-komórkowe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br w:type="textWrapping"/>
        <w:br w:type="textWrapping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breksukabtagenem autoleucelu*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 xml:space="preserve">Data </w:t>
              <w:tab/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  <w:lang w:val="pl-PL" w:bidi="pl-PL" w:eastAsia="pl-PL"/>
              </w:rPr>
              <w:br w:type="textWrapping"/>
              <w:br w:type="textWrapping"/>
              <w:br w:type="textWrapping"/>
              <w:br w:type="textWrapping"/>
            </w:r>
            <w:r>
              <w:rPr>
                <w:i w:val="1"/>
                <w:sz w:val="18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 xml:space="preserve">Data </w:t>
              <w:tab/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br w:type="textWrapping"/>
              <w:br w:type="textWrapping"/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i w:val="1"/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 z 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2023-11-17T13:46:05Z</dcterms:created>
  <cp:lastModifiedBy>Michalak Alicja</cp:lastModifiedBy>
  <dcterms:modified xsi:type="dcterms:W3CDTF">2023-11-30T12:40:40Z</dcterms:modified>
  <cp:revision>157</cp:revision>
  <dc:subject>w sprawie określenia warunków zawierania i realizacji umów w rodzaju leczenie szpitalne w zakresie programy lekowe</dc:subject>
  <dc:title>Zarządzenie</dc:title>
</cp:coreProperties>
</file>