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8E2EAB4" Type="http://schemas.openxmlformats.org/officeDocument/2006/relationships/officeDocument" Target="/word/document.xml" /><Relationship Id="coreR68E2EAB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i weryfikację skuteczności leczenia nocnej napadowej hemoglobinurii (PNH)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68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Leczenie chorych z nocną napadową hemoglobinurią (PNH)</w:t>
            </w:r>
          </w:p>
        </w:tc>
      </w:tr>
      <w:tr>
        <w:trPr>
          <w:wBefore w:w="0" w:type="dxa"/>
          <w:trHeight w:hRule="atLeast" w:val="437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 59.5 - Nocna napadowa hemoglobinuria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lekarze specjaliści w dziedzinie hematologii lub onkologii i hematologii dziecięcej, lub pediatrii</w:t>
            </w:r>
          </w:p>
        </w:tc>
      </w:tr>
      <w:tr>
        <w:trPr>
          <w:wBefore w:w="0" w:type="dxa"/>
          <w:trHeight w:hRule="atLeast" w:val="1121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1) kryteria kwalifikacji i weryfikacji zostały określone w opisie programu lekowego;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2) kwalifikacja i weryfikacja skuteczności leczenia ekulizumabem w zakresie nocnej napadowej hemoglobinurii (PNH) dokonywana jest w oparciu o wnioski przedłożone za pośrednictwem elektronicznego systemu monitorowania programów lekowych;</w:t>
            </w:r>
          </w:p>
          <w:p>
            <w:pPr>
              <w:jc w:val="left"/>
            </w:pPr>
            <w:r>
              <w:rPr>
                <w:sz w:val="20"/>
              </w:rPr>
              <w:t>3) kwalifikacja i weryfikacja skuteczności leczenia rawulizumabem lub pegcetakoplanem w zakresie nocnej napadowej hemoglobinurii (PNH) dokonywana jest w oparciu o wnioski określone w pkt. 2</w:t>
            </w:r>
          </w:p>
        </w:tc>
      </w:tr>
      <w:tr>
        <w:trPr>
          <w:wBefore w:w="0" w:type="dxa"/>
          <w:trHeight w:hRule="atLeast" w:val="55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r>
        <w:br w:type="page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1008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b w:val="1"/>
              </w:rPr>
              <w:t xml:space="preserve">2. Wzory dokumentów niezbędnych dla kwalifikacji pacjenta do leczenia w programie lekowym Leczenie chorych z nocną napadową hemoglobinurią (PNH) </w:t>
            </w: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</w:rPr>
        <w:t>Wniosek o zakwalifikowanie pacjenta do leczenia w programie lekowym Leczenie chorych z nocną napadową hemoglobinurią (PNH) – rawulizumab lub pegcetakoplan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</w:rPr>
        <w:t>Dane personalne pacjenta i nazwa jednostki kierującej: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gridAfter w:val="1"/>
          <w:wBefore w:w="0" w:type="dxa"/>
          <w:wAfter w:w="735" w:type="dxa"/>
          <w:trHeight w:hRule="atLeast" w:val="540"/>
        </w:trPr>
        <w:tc>
          <w:tcPr>
            <w:tcW w:w="493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Imię i nazwisko</w:t>
            </w:r>
          </w:p>
        </w:tc>
        <w:tc>
          <w:tcPr>
            <w:tcW w:w="44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PESEL</w:t>
            </w:r>
          </w:p>
        </w:tc>
      </w:tr>
      <w:tr>
        <w:trPr>
          <w:wBefore w:w="0" w:type="dxa"/>
        </w:trPr>
        <w:tc>
          <w:tcPr>
            <w:tcW w:w="23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3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Data wystawienia wniosku: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wystawiający wniosek: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Dane do kwalifikacji: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Wiek pacjenta: ............................</w:t>
      </w:r>
    </w:p>
    <w:p>
      <w:pPr>
        <w:pStyle w:val="P1"/>
        <w:numPr>
          <w:ilvl w:val="0"/>
          <w:numId w:val="1"/>
        </w:numPr>
        <w:spacing w:before="120" w:after="120" w:beforeAutospacing="0" w:afterAutospacing="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Kwalifikacja pacjenta do leczenia rawulizumabem</w:t>
      </w:r>
    </w:p>
    <w:p>
      <w:pPr>
        <w:pStyle w:val="P1"/>
        <w:numPr>
          <w:ilvl w:val="1"/>
          <w:numId w:val="1"/>
        </w:numPr>
        <w:spacing w:before="120" w:after="120" w:beforeAutospacing="0" w:afterAutospacing="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pacjent nie leczony uprzednio ekulizumebem </w:t>
      </w:r>
    </w:p>
    <w:p>
      <w:pPr>
        <w:pStyle w:val="P1"/>
        <w:numPr>
          <w:ilvl w:val="1"/>
          <w:numId w:val="1"/>
        </w:numPr>
        <w:spacing w:before="120" w:after="120" w:beforeAutospacing="0" w:afterAutospacing="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pacjent stabilny klinicznie po terapii ekulizumebem </w:t>
      </w:r>
    </w:p>
    <w:p>
      <w:pPr>
        <w:pStyle w:val="P1"/>
        <w:numPr>
          <w:ilvl w:val="0"/>
          <w:numId w:val="1"/>
        </w:numPr>
        <w:spacing w:before="120" w:after="120" w:beforeAutospacing="0" w:afterAutospacing="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Kwalifikacja pacjenta do leczenia pegcetakoplanem 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 przypadku kwalifikacji pacjenta leczonego wcześniej ekulizumabem proszę podać:</w:t>
      </w:r>
    </w:p>
    <w:tbl>
      <w:tblPr>
        <w:tblStyle w:val="T2"/>
        <w:tblW w:w="0" w:type="auto"/>
        <w:tblInd w:w="279" w:type="dxa"/>
        <w:tblLayout w:type="autofit"/>
        <w:tblLook w:val="04A0"/>
      </w:tblPr>
      <w:tblGrid/>
      <w:tr>
        <w:tc>
          <w:tcPr>
            <w:tcW w:w="46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Nr pacjenta w elektronicznym systemie monitorowania programów lekowych:</w:t>
            </w:r>
          </w:p>
        </w:tc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  <w:tr>
        <w:tc>
          <w:tcPr>
            <w:tcW w:w="46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Okres leczenia ekulizumabem:</w:t>
            </w:r>
          </w:p>
        </w:tc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Badania: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Nazwa badania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 xml:space="preserve">Wynik badania 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(zgodnie z opisem programu lekowego)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do wniosku można dołączyć kopię wyników badań</w:t>
            </w: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badanie granulocytów oraz erytrocytów w cytometrze przepływowym pod kątem obecności klonu PNH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test ciążowy u kobiet w wieku rozrodczym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aktywność dehydrogenazy mleczanowej (LDH)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noProof w:val="1"/>
              </w:rPr>
              <w:t>morfologia krwi z rozmazem / morfologia krwi obwodowej z rozmazem i z liczbą retikulocytów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czas częściowej tromboplastyny po aktywacji (APTT)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czas protrombinowy (PT)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rPr>
          <w:trHeight w:hRule="atLeast" w:val="551"/>
        </w:trP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fibrynogen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odczyn Coombsa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oznaczenie grupy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kreatyniny w surowicy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mocznika w surowicy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aktywność aminotransferazy asparaginowej (AspAT)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aktywność aminotransferazy alaninowej (AlAT)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bilirubiny całkowitej i bezpośredniej w surowicy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haptoglobiny (Hp) w surowicy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sodu w surowicy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potasu w surowicy krwi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badanie ogólne moczu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badania obrazowe naczyń w przypadku podejrzenia zakrzepicy żylnej lub tętniczej lub incydentów zatorowych w zależności od umiejscowienia: ultrasonogram (USG) lub tomografia komputerowa (TK) lub magnetyczny rezonans jądrowy (MRI)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trepanobiopsja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Informacje o spełnieniu kryteriów kwalifikacji </w:t>
      </w:r>
      <w:r>
        <w:rPr>
          <w:color w:val="000000"/>
          <w:u w:val="none" w:color="000000"/>
        </w:rPr>
        <w:t>- zgodnie z opisem programu lekowego – proszę uzupełnić właściwe pole lub wpisać nie dotyczy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Leczenie rawulizumabem</w:t>
            </w:r>
          </w:p>
        </w:tc>
      </w:tr>
      <w:t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Zdiagnozowana nocna napadowa hemoglobinuria z obecnością klonu PNH &gt;1% oznaczonego w badaniu cytometrii przepływowej i co najmniej jeden z poniższych:</w:t>
            </w:r>
          </w:p>
        </w:tc>
      </w:tr>
      <w:t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a) objawy hemolizy związane z PNH oraz (łącznie):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aktywnością dehydrogenazy mleczanowej (LDH) ≥1,5 przekraczająca górną granicę normy (GGN),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• co najmniej jedno z powikłań związanych z hemolizą: 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niewydolność nerek,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nadciśnienie płucne lub duszność,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znaczne zmęczenie ocenione wg FACIT upośledzające codzienną aktywność,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hemoglobinuria,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bóle brzucha,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- niedokrwistość  (stężenie hemoglobiny &lt; 10g/dL),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dysfagia,</w:t>
            </w:r>
          </w:p>
          <w:p>
            <w:pPr>
              <w:spacing w:before="120" w:after="120" w:beforeAutospacing="0" w:afterAutospacing="0"/>
              <w:ind w:left="72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zaburzenia erekcji,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b) zakrzepica lub poważne zdarzenie naczyniowe w tym: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zakrzepowe zapalenie żył głębokich/zakrzepica żył głębokich,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zator tętnicy płucnej,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zdarzenia mózgowo-naczyniowe,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amputacja,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zawał mięśnia sercowego,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napad przemijającego niedokrwienia,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niestabilna dławica piersiowa,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zakrzepica żyły nerkowej,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zakrzepica żył krezkowych,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zakrzepica żyły wrotnej,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zgorzel,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• ostre zamknięcia naczyń obwodowych;</w:t>
            </w:r>
          </w:p>
        </w:tc>
      </w:tr>
      <w:tr>
        <w:trPr>
          <w:trHeight w:hRule="atLeast" w:val="2430"/>
        </w:trP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Uwagi: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  <w:lang w:val="pl-PL" w:bidi="pl-PL" w:eastAsia="pl-PL"/>
              </w:rPr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  <w:t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Leczenie pegcetakoplanem</w:t>
            </w:r>
          </w:p>
        </w:tc>
      </w:tr>
      <w:t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zdiagnozowana nocna napadowa hemoglobinuria z obecnością klonu PNH &gt;1% oznaczonego w badaniu cytometrii przepływowej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obecność niedokrwistości w trakcie leczenia inhibitorem C5 przez co najmniej 3 miesiące u pacjentów, którzy w chwili rozpoczęcia leczenia inhibitorem C5 spełniali kryteria kwalifikacji do programu lekowego;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nieobecność niewyleczonego zakażenia wywołanego przez bakterie otoczkowe, w tym Neisseria meningitidis, Streptococcus pneumoniae i Haemophilus influenzae;</w:t>
            </w:r>
          </w:p>
        </w:tc>
      </w:tr>
      <w:tr>
        <w:trPr>
          <w:trHeight w:hRule="atLeast" w:val="1200"/>
        </w:trPr>
        <w:tc>
          <w:tcPr>
            <w:tcW w:w="9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Uwagi: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Informacja o szczepieniach i profilaktyka antybiotykowa: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3255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Dodatkowe informacje wynikające z opisu programu lekowego tj.:</w:t>
      </w:r>
    </w:p>
    <w:p>
      <w:pPr>
        <w:spacing w:before="120" w:after="120" w:beforeAutospacing="0" w:afterAutospacing="0"/>
        <w:ind w:left="227"/>
        <w:jc w:val="left"/>
        <w:rPr>
          <w:i w:val="1"/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>- nieobecność istotnych schorzeń współistniejących stanowiących przeciwskazanie do terapii stwierdzonych przez lekarza prowadzącego w oparciu o aktualną ChPL</w:t>
      </w:r>
    </w:p>
    <w:p>
      <w:pPr>
        <w:spacing w:before="120" w:after="120" w:beforeAutospacing="0" w:afterAutospacing="0"/>
        <w:ind w:left="227"/>
        <w:jc w:val="left"/>
        <w:rPr>
          <w:i w:val="1"/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>- brak przeciwwskazań do stosowania określonej w aktualnej ChPL substancji czynnej ujętej w programie lekowym</w:t>
      </w:r>
    </w:p>
    <w:p>
      <w:pPr>
        <w:spacing w:before="120" w:after="120" w:beforeAutospacing="0" w:afterAutospacing="0"/>
        <w:ind w:left="227"/>
        <w:jc w:val="left"/>
        <w:rPr>
          <w:i w:val="1"/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>- 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lekowym;</w:t>
      </w:r>
    </w:p>
    <w:p>
      <w:pPr>
        <w:spacing w:before="120" w:after="120" w:beforeAutospacing="0" w:afterAutospacing="0"/>
        <w:ind w:left="227"/>
        <w:jc w:val="left"/>
        <w:rPr>
          <w:i w:val="1"/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>- w przypadku kwalifikacji do rawulizumabu u pacjentów wcześniej leczonych ekulizumabem - stosowanie ekulizumabu przez co najmniej 6 ostatnich miesięcy;</w:t>
      </w: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Proszę odnieść się do powyższych kryteriów: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2880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8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Data: …………………………</w:t>
            </w: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……………..………………………………</w:t>
            </w:r>
          </w:p>
        </w:tc>
      </w:tr>
      <w:tr>
        <w:trPr>
          <w:wBefore w:w="0" w:type="dxa"/>
        </w:trPr>
        <w:tc>
          <w:tcPr>
            <w:tcW w:w="246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120" w:after="120" w:beforeAutospacing="0" w:afterAutospacing="0"/>
        <w:ind w:firstLine="227"/>
        <w:jc w:val="left"/>
        <w:rPr>
          <w:b w:val="1"/>
          <w:caps w:val="1"/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467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467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466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466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467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467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466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466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</w:rPr>
        <w:t>Wniosek o kontynuację leczenia pacjenta w programie lekowym Leczenie chorych nocną napadową hemoglobinurią – rawulizumab lub pegcetakoplan</w:t>
      </w:r>
    </w:p>
    <w:p>
      <w:pPr>
        <w:spacing w:before="120" w:after="120" w:beforeAutospacing="0" w:afterAutospacing="0"/>
        <w:jc w:val="center"/>
      </w:pPr>
      <w:r>
        <w:t xml:space="preserve">- skierowanie wniosku do Zespołu Koordynacyjnego zgodnie z kryteriami określonymi w opisie programu lekowego w części 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</w:rPr>
        <w:t>Dane personalne pacjenta i nazwa jednostki kierującej:</w:t>
      </w:r>
    </w:p>
    <w:tbl>
      <w:tblPr>
        <w:tblW w:w="4888" w:type="pct"/>
        <w:tblInd w:w="281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540"/>
        </w:trPr>
        <w:tc>
          <w:tcPr>
            <w:tcW w:w="465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Imię i nazwisko</w:t>
            </w:r>
          </w:p>
        </w:tc>
        <w:tc>
          <w:tcPr>
            <w:tcW w:w="520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540"/>
        </w:trPr>
        <w:tc>
          <w:tcPr>
            <w:tcW w:w="465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PESEL</w:t>
            </w:r>
          </w:p>
        </w:tc>
        <w:tc>
          <w:tcPr>
            <w:tcW w:w="520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65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Wiek pacjenta</w:t>
            </w:r>
          </w:p>
        </w:tc>
        <w:tc>
          <w:tcPr>
            <w:tcW w:w="520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65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Data wystawienia wniosku</w:t>
            </w:r>
          </w:p>
        </w:tc>
        <w:tc>
          <w:tcPr>
            <w:tcW w:w="520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65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Świadczeniodawca wystawiający wniosek</w:t>
            </w:r>
          </w:p>
        </w:tc>
        <w:tc>
          <w:tcPr>
            <w:tcW w:w="520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65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Stosowany u pacjenta lek</w:t>
            </w:r>
          </w:p>
        </w:tc>
        <w:tc>
          <w:tcPr>
            <w:tcW w:w="520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gridAfter w:val="1"/>
          <w:wBefore w:w="0" w:type="dxa"/>
          <w:wAfter w:w="60" w:type="dxa"/>
        </w:trPr>
        <w:tc>
          <w:tcPr>
            <w:tcW w:w="2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1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60" w:type="dxa"/>
        </w:trPr>
        <w:tc>
          <w:tcPr>
            <w:tcW w:w="2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1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Badania: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Nazwa badania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 xml:space="preserve">Wynik badania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do wniosku można dołączyć kopię wyników badań</w:t>
            </w: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badanie obecności klonów PNH w cytometrze przepływowym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aktywność dehydrogenazy mleczanowej (LDH)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noProof w:val="1"/>
              </w:rPr>
              <w:t xml:space="preserve">morfologia krwi z rozmazem 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odczyn Coombsa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kreatyniny w surowicy krwi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mocznika w surowicy krwi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aktywność aminotransferazy asparaginowej (AspAT)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aktywność aminotransferazy alaninowej (AlAT)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 xml:space="preserve">stężenie bilirubiny całkowitej 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Ocena skuteczności zastosowanej terapii po 3 miesiącach terapii: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2640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left="227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Dodatkowe informacje: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3210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8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Data: …………………………</w:t>
            </w: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……………..………………………………</w:t>
            </w:r>
          </w:p>
        </w:tc>
      </w:tr>
      <w:tr>
        <w:trPr>
          <w:wBefore w:w="0" w:type="dxa"/>
        </w:trPr>
        <w:tc>
          <w:tcPr>
            <w:tcW w:w="246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r>
        <w:br w:type="page"/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 dnia……………………..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288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289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289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center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Decyzja dotycząca kwalifikacji do leczenia w programie lekowym </w:t>
      </w:r>
      <w:r>
        <w:rPr>
          <w:b w:val="1"/>
        </w:rPr>
        <w:t>Leczenie chorych z nocną napadową hemoglobinurią (PNH)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Przewodniczący Zespołu Koordynacyjnego ds. Leczenia Nocnej Napadowej Hemoglobinurii 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Dotyczy pacjenta: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Imię i nazwisko: ……………………………………………PESEL: ………………………….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wnioskujący: ………………………………………………………………</w:t>
        <w:br w:type="textWrapping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Lek: rawulizumab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Decyzja: Pozytywna/Negatywna/Przerwanie terapii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Podpis Przewodniczącego Zespołu Koordynacyjnego ds. Leczenia Nocnej Napadowej Hemoglobinurii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Dodatkowe informacje:</w:t>
      </w:r>
    </w:p>
    <w:tbl>
      <w:tblPr>
        <w:tblStyle w:val="T2"/>
        <w:tblW w:w="0" w:type="auto"/>
        <w:tblLayout w:type="autofit"/>
        <w:tblLook w:val="04A0"/>
      </w:tblPr>
      <w:tblGrid/>
      <w:tr>
        <w:trPr>
          <w:trHeight w:hRule="atLeast" w:val="2235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  <w:r>
        <w:rPr>
          <w:b w:val="1"/>
          <w:caps w:val="1"/>
          <w:color w:val="000000"/>
          <w:u w:val="none" w:color="000000"/>
        </w:rPr>
        <w:t>Z</w:t>
      </w:r>
      <w:r>
        <w:rPr>
          <w:b w:val="1"/>
          <w:color w:val="000000"/>
          <w:u w:val="none" w:color="000000"/>
        </w:rPr>
        <w:t xml:space="preserve">ałącznik do wniosku o zakwalifikowanie pacjenta do leczenia w programie lekowym </w:t>
      </w:r>
      <w:r>
        <w:rPr>
          <w:b w:val="1"/>
        </w:rPr>
        <w:t>Leczenie chorych nocną napadową hemoglobinurią (PNH)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Zostałam(em) poinformowana(y) o istocie choroby, możliwości wystąpienia objawów niepożądanych i powikłań zastosowanej terapii oraz o możliwości zaprzestania terapii.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Mając powyższe na uwadze, wyrażam zgodę na leczenie rawulizumabem/pegcetakoplanem* oraz zobowiązuję się do przyjmowania tego leku zgodnie z zaleceniami lekarskimi, oraz stawienia się na badania kontrolne w wyznaczonych terminach.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lekarza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p/>
    <w:p>
      <w:pPr>
        <w:rPr>
          <w:i w:val="1"/>
          <w:sz w:val="20"/>
        </w:rPr>
      </w:pPr>
      <w:r>
        <w:rPr>
          <w:i w:val="1"/>
          <w:sz w:val="20"/>
        </w:rPr>
        <w:t xml:space="preserve">*niepotrzebne skreślić </w:t>
      </w: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B7E67BD"/>
    <w:multiLevelType w:val="hybridMultilevel"/>
    <w:lvl w:ilvl="0" w:tplc="838868C2">
      <w:start w:val="1"/>
      <w:numFmt w:val="bullet"/>
      <w:suff w:val="tab"/>
      <w:lvlText w:val=""/>
      <w:lvlJc w:val="left"/>
      <w:pPr>
        <w:ind w:hanging="360" w:left="947"/>
      </w:pPr>
      <w:rPr>
        <w:rFonts w:ascii="Symbol" w:hAnsi="Symbol"/>
      </w:rPr>
    </w:lvl>
    <w:lvl w:ilvl="1" w:tplc="2AE84DB4">
      <w:start w:val="1"/>
      <w:numFmt w:val="bullet"/>
      <w:suff w:val="tab"/>
      <w:lvlText w:val=""/>
      <w:lvlJc w:val="left"/>
      <w:pPr>
        <w:ind w:hanging="360" w:left="1440"/>
      </w:pPr>
      <w:rPr>
        <w:rFonts w:ascii="Symbol" w:hAnsi="Symbol"/>
      </w:rPr>
    </w:lvl>
    <w:lvl w:ilvl="2" w:tplc="04150005">
      <w:start w:val="1"/>
      <w:numFmt w:val="bullet"/>
      <w:suff w:val="tab"/>
      <w:lvlText w:val="§"/>
      <w:lvlJc w:val="left"/>
      <w:pPr>
        <w:ind w:hanging="360" w:left="2160"/>
      </w:pPr>
      <w:rPr>
        <w:rFonts w:ascii="Wingdings" w:hAnsi="Wingdings"/>
      </w:rPr>
    </w:lvl>
    <w:lvl w:ilvl="3" w:tplc="04150001">
      <w:start w:val="1"/>
      <w:numFmt w:val="bullet"/>
      <w:suff w:val="tab"/>
      <w:lvlText w:val="·"/>
      <w:lvlJc w:val="left"/>
      <w:pPr>
        <w:ind w:hanging="360" w:left="2880"/>
      </w:pPr>
      <w:rPr>
        <w:rFonts w:ascii="Symbol" w:hAnsi="Symbol"/>
      </w:rPr>
    </w:lvl>
    <w:lvl w:ilvl="4" w:tplc="0415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50005">
      <w:start w:val="1"/>
      <w:numFmt w:val="bullet"/>
      <w:suff w:val="tab"/>
      <w:lvlText w:val="§"/>
      <w:lvlJc w:val="left"/>
      <w:pPr>
        <w:ind w:hanging="360" w:left="4320"/>
      </w:pPr>
      <w:rPr>
        <w:rFonts w:ascii="Wingdings" w:hAnsi="Wingdings"/>
      </w:rPr>
    </w:lvl>
    <w:lvl w:ilvl="6" w:tplc="04150001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415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50005">
      <w:start w:val="1"/>
      <w:numFmt w:val="bullet"/>
      <w:suff w:val="tab"/>
      <w:lvlText w:val="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paragraph" w:styleId="P1">
    <w:name w:val="List Paragraph"/>
    <w:basedOn w:val="P0"/>
    <w:next w:val="P1"/>
    <w:pPr>
      <w:ind w:left="720"/>
      <w:contextualSpacing w:val="1"/>
      <w:jc w:val="both"/>
    </w:pPr>
    <w:rPr>
      <w:color w:val="auto"/>
      <w:shd w:val="clear" w:color="auto" w:fill="auto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rPr>
      <w:color w:val="auto"/>
      <w:sz w:val="20"/>
      <w:shd w:val="clear" w:color="auto" w:fill="auto"/>
      <w:lang w:val="pl-PL" w:bidi="pl-PL" w:eastAsia="pl-PL"/>
    </w:r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2023-11-17T11:30:22Z</dcterms:created>
  <cp:lastModifiedBy>Michalak Alicja</cp:lastModifiedBy>
  <dcterms:modified xsi:type="dcterms:W3CDTF">2023-11-30T12:40:40Z</dcterms:modified>
  <cp:revision>172</cp:revision>
</cp:coreProperties>
</file>