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B0D" w:rsidRDefault="00997CE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 do zarządzenia Nr 156/2023/DSOZ</w:t>
      </w:r>
      <w:r>
        <w:br/>
        <w:t>Prezesa Narodowego Funduszu Zdrowia</w:t>
      </w:r>
      <w:r>
        <w:br/>
        <w:t>z dnia 2 listopada 2023 r.</w:t>
      </w:r>
    </w:p>
    <w:p w:rsidR="00FC1B0D" w:rsidRDefault="00997CE3">
      <w:pPr>
        <w:keepNext/>
        <w:spacing w:after="480"/>
        <w:jc w:val="center"/>
      </w:pPr>
      <w:r>
        <w:rPr>
          <w:b/>
        </w:rPr>
        <w:t>Świadczenia położnej poz w Programie profilaktyki raka szyjki macicy - Pobranie materiału z szyjki macicy do przesiewowego badania cytologicznego</w:t>
      </w:r>
    </w:p>
    <w:p w:rsidR="00FC1B0D" w:rsidRDefault="00997CE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u w:val="single"/>
        </w:rPr>
        <w:t>Informacje ogólne: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Rozmaz cytologiczny w ramach skryningu może pobierać położna poz posiadająca kwalifikacje określone w przepisach dotyczących świadczeń gwarantowanych z zakresu programów zdrowotnych, wydanych na podstawie art. 31d ustawy.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</w:t>
      </w:r>
      <w:r>
        <w:rPr>
          <w:color w:val="000000"/>
          <w:u w:color="000000"/>
        </w:rPr>
        <w:t>nie wykonywane jest u zgłaszających się do badania w Programie kobiet w wieku określonym w przepisach dotyczących świadczeń gwarantowanych z zakresu programów zdrowotnych, wydanych na podstawie art. 31d ustawy.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pacjentek leczonych z powodu n</w:t>
      </w:r>
      <w:r>
        <w:rPr>
          <w:color w:val="000000"/>
          <w:u w:color="000000"/>
        </w:rPr>
        <w:t>owotworu złośliwego szyjki macicy po zakończeniu kontroli onkologicznej (decyzję podejmuje lekarz prowadzący leczenie onkologiczne) ponownie zostają objęte skryningiem cytologicznym.</w:t>
      </w:r>
    </w:p>
    <w:p w:rsidR="00FC1B0D" w:rsidRDefault="00997CE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val="single" w:color="000000"/>
        </w:rPr>
        <w:t>Wykonanie świadczenia obejmuje: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Zarejestrowanie pacjentki w Systemie I</w:t>
      </w:r>
      <w:r>
        <w:rPr>
          <w:color w:val="000000"/>
          <w:u w:color="000000"/>
        </w:rPr>
        <w:t>nformatycznym Monitorowania Profilaktyki (SIMP) z jednoczesną weryfikacją kwalifikacji do objęcia skryningiem, nie później niż w dniu wykonania badania, oraz wypełnienie ankiety w SIMP.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Pobranie materiału do badania przy użyciu jednorazowego wziernika i</w:t>
      </w:r>
      <w:r>
        <w:rPr>
          <w:color w:val="000000"/>
          <w:u w:color="000000"/>
        </w:rPr>
        <w:t> jednorazowej szczoteczki umożliwiającej pobranie wymazu jednocześnie z tarczy części pochwowej oraz z kanału szyjki macicy. W przypadku, kiedy próbka nie nadaje się do oceny mikroskopowej, świadczeniodawca zobowiązany jest poinformować o tym pacjentkę i p</w:t>
      </w:r>
      <w:r>
        <w:rPr>
          <w:color w:val="000000"/>
          <w:u w:color="000000"/>
        </w:rPr>
        <w:t>onownie pobrać materiał do badania. Dopuszcza się odsetek rozmazów nienadających się do oceny na poziomie 3%. W przypadku przekroczenia w/w parametru, Oddział wojewódzki Funduszu zaleca usunięcie nieprawidłowości, a w razie niewykonania zaleceń w ciągu 3 m</w:t>
      </w:r>
      <w:r>
        <w:rPr>
          <w:color w:val="000000"/>
          <w:u w:color="000000"/>
        </w:rPr>
        <w:t>iesięcy może rozwiązać umowę ze świadczeniodawcą w przedmiotowym zakresie świadczeń położnej poz.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Rozprowadzenie pobranego materiału na całej powierzchni szkiełka podstawowego i jego utrwalenie (cytofix lub alkohol 96%).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Opisanie wykonanego rozmazu w</w:t>
      </w:r>
      <w:r>
        <w:rPr>
          <w:color w:val="000000"/>
          <w:u w:color="000000"/>
        </w:rPr>
        <w:t> sposób umożliwiający identyfikację kobiety w SIMP, np. w oparciu o nr badania nadany przez SIMP lub nr PESEL pacjentki, oraz wysłanie badania do pracowni diagnostycznej wyłonionej przez Fundusz w drodze postępowania poprzedzającego zawarcie umów na realiz</w:t>
      </w:r>
      <w:r>
        <w:rPr>
          <w:color w:val="000000"/>
          <w:u w:color="000000"/>
        </w:rPr>
        <w:t>ację etapu diagnostycznego Programu profilaktyki raka szyjki macicy (po zakończeniu procedur konkursowych Oddział wojewódzki Funduszu właściwy terytorialnie dla siedziby świadczeniodawcy zobowiązany jest udostępnić listę pracowni realizujących etap diagnos</w:t>
      </w:r>
      <w:r>
        <w:rPr>
          <w:color w:val="000000"/>
          <w:u w:color="000000"/>
        </w:rPr>
        <w:t>tyczny Programu).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Przeprowadzenie edukacji pacjentki w zakresie prewencji nowotworów szyjki macicy.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W przypadku nieprawidłowego wyniku badania, w sytuacji nie zgłoszenia się pacjentki po jego odbiór w ciągu 3 miesięcy - obowiązkowe jej wezwanie po od</w:t>
      </w:r>
      <w:r>
        <w:rPr>
          <w:color w:val="000000"/>
          <w:u w:color="000000"/>
        </w:rPr>
        <w:t>biór wyniku badania i jego wydanie wraz z decyzją, co do dalszego postępowania. W sytuacji konieczności weryfikacji wstępnego rozpoznania, skierowanie do odpowiedniej placówki realizującej świadczenia zdrowotne w ramach Etapu pogłębionej diagnostyki Progra</w:t>
      </w:r>
      <w:r>
        <w:rPr>
          <w:color w:val="000000"/>
          <w:u w:color="000000"/>
        </w:rPr>
        <w:t>mu.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Zalecenie postępowania w przypadku prawidłowego wyniku badania, w tym:</w:t>
      </w:r>
    </w:p>
    <w:p w:rsidR="00FC1B0D" w:rsidRDefault="00997CE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zalecenie ponownego zgłoszenia się na badanie po trzech latach w przypadku braku czynników ryzyka;</w:t>
      </w:r>
    </w:p>
    <w:p w:rsidR="00FC1B0D" w:rsidRDefault="00997CE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zalecenie wcześniejszego badania cytologicznego (po 12 miesiącach) w rama</w:t>
      </w:r>
      <w:r>
        <w:rPr>
          <w:color w:val="000000"/>
          <w:u w:color="000000"/>
        </w:rPr>
        <w:t>ch Programu w uzasadnionych przypadkach, w szczególności w przypadku kobiet zakażonych wirusem HIV, przyjmujących leki immunosupresyjne oraz zakażonych wirusem HPV - typem wysokiego ryzyka.</w:t>
      </w:r>
    </w:p>
    <w:p w:rsidR="00FC1B0D" w:rsidRDefault="00997CE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Wpisanie zaleceń dla kobiety odnośnie dalszego trybu postępowan</w:t>
      </w:r>
      <w:r>
        <w:rPr>
          <w:color w:val="000000"/>
          <w:u w:color="000000"/>
        </w:rPr>
        <w:t>ia w aplikacji SIMP.</w:t>
      </w:r>
    </w:p>
    <w:sectPr w:rsidR="00FC1B0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0D"/>
    <w:rsid w:val="00997CE3"/>
    <w:rsid w:val="00FC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F4036FF-3109-4380-9AFA-117B4107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514</Words>
  <Characters>3090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5 września 2023 r.</vt:lpstr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5 września 2023 r.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2023-11-02T14:32:00Z</dcterms:created>
  <dcterms:modified xsi:type="dcterms:W3CDTF">2023-11-02T14:32:00Z</dcterms:modified>
  <cp:category>Akt prawny</cp:category>
</cp:coreProperties>
</file>