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E4" w:rsidRDefault="00894FC4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3 do zarządzenia Nr 156/2023/DSOZ</w:t>
      </w:r>
      <w:r>
        <w:br/>
        <w:t>Prezesa Narodowego Funduszu Zdrowia</w:t>
      </w:r>
      <w:r>
        <w:br/>
        <w:t>z dnia 2 listopada 2023 r.</w:t>
      </w:r>
    </w:p>
    <w:p w:rsidR="004F4FE4" w:rsidRDefault="00894FC4">
      <w:pPr>
        <w:keepNext/>
        <w:spacing w:after="480"/>
        <w:jc w:val="center"/>
      </w:pPr>
      <w:r>
        <w:rPr>
          <w:b/>
        </w:rPr>
        <w:t>Wykaz chorób wg klasyfikacji ICD - 10 stanowiących przyczynę diagnostyki i leczenia osób przewlekle chorych*</w:t>
      </w:r>
    </w:p>
    <w:p w:rsidR="004F4FE4" w:rsidRDefault="00894FC4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>Grupa dziedzinowa - Diabetologia</w:t>
      </w:r>
    </w:p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(E10-E14) Cukrzyca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E10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Cukrzyca insulinozależna 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E11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Cukrzyca insulinoniezależna 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E13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Inne określone postacie cukrzycy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E14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Cukrzyca nie określona 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R73 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Podwyższone stężenie glukozy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R73.0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Nieprawidłowa krzywa cukrowa (test tolerancji glukozy)</w:t>
            </w:r>
          </w:p>
        </w:tc>
      </w:tr>
    </w:tbl>
    <w:p w:rsidR="004F4FE4" w:rsidRDefault="00894FC4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Grupa</w:t>
      </w:r>
      <w:r>
        <w:rPr>
          <w:b/>
          <w:color w:val="000000"/>
          <w:u w:color="000000"/>
        </w:rPr>
        <w:t xml:space="preserve"> dziedzinowa - Kardiologia</w:t>
      </w:r>
    </w:p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(I10 – I15) Choroba nadciśnieniowa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9212"/>
      </w:tblGrid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I10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Samoistne (pierwotne) nadciśnienie </w:t>
            </w:r>
          </w:p>
        </w:tc>
      </w:tr>
      <w:tr w:rsidR="004F4FE4">
        <w:trPr>
          <w:trHeight w:val="75"/>
        </w:trPr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I11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Choroba nadciśnieniowa z zajęciem serca</w:t>
            </w:r>
          </w:p>
        </w:tc>
      </w:tr>
      <w:tr w:rsidR="004F4FE4">
        <w:trPr>
          <w:trHeight w:val="75"/>
        </w:trPr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I11.0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Choroba nadciśnieniowa z zajęciem serca, z (zastoinową) niewydolnością serca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I11.9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Choroba </w:t>
            </w:r>
            <w:r>
              <w:t>nadciśnieniowa z zajęciem serca bez (zastoinowej) niewydolności serca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I12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Choroba nadciśnieniowa z zajęciem nerek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I12.0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Choroba nadciśnieniowa z zajęciem nerek, z niewydolnością nerek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I12.9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Choroba nadciśnieniowa z zajęciem nerek, bez niewydolności </w:t>
            </w:r>
            <w:r>
              <w:t>nerek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I13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Choroba nadciśnieniowa z zajęciem serca i nerek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I13.0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Choroba nadciśnieniowa z zajęciem serca i nerek, z (zastoinową) niewydolnością serca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I13.1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Choroba nadciśnieniowa z zajęciem serca i nerek, z niewydolnością nerek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I13.2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Choroba </w:t>
            </w:r>
            <w:r>
              <w:t>nadciśnieniowa z zajęciem serca i nerek, tak z (zastoinową) niewydolnością serca jak i niewydolnością nerek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I13.9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 Choroba nadciśnieniowa z zajęciem serca i nerek, nieokreślona </w:t>
            </w:r>
          </w:p>
        </w:tc>
      </w:tr>
      <w:tr w:rsidR="004F4FE4"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I15</w:t>
            </w:r>
          </w:p>
        </w:tc>
        <w:tc>
          <w:tcPr>
            <w:tcW w:w="9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 Nadciśnienie wtórne </w:t>
            </w:r>
          </w:p>
        </w:tc>
      </w:tr>
    </w:tbl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(I20 – I25) Choroba niedokrwienna serca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I20.1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Dusznica bolesna z udokumentowanym skurczem naczyń wieńcowych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I20.8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Inne postacie dusznicy bolesnej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I20.9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Dusznica bolesna, nieokreślona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I25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Przewlekła choroba niedokrwienna serca </w:t>
            </w:r>
          </w:p>
        </w:tc>
      </w:tr>
    </w:tbl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 (I48 – I50) Inne choroby serca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I48 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Migotanie i trzepotanie </w:t>
            </w:r>
            <w:r>
              <w:t>przedsionków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I50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r>
              <w:t>Niewydolność serca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lastRenderedPageBreak/>
              <w:t>I50.0 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Niewydolność serca zastoinowa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I50.1 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Niewydolność serca lewokomorowa 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I50.9 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Niewydolność serca, nie określona </w:t>
            </w:r>
          </w:p>
        </w:tc>
      </w:tr>
    </w:tbl>
    <w:p w:rsidR="004F4FE4" w:rsidRDefault="00894FC4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Grupa dziedzinowa - Endokrynologia</w:t>
      </w:r>
    </w:p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(E00 – E89.0) Choroby tarczycy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E01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 xml:space="preserve">Niedoczynność </w:t>
            </w:r>
            <w:r>
              <w:t>tarczycy z powodu niedoboru jodu i pokrewnych przyczyn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E02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Subkliniczna postać niedoczynności tarczycy z powodu niedoboru jodu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E03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Inne postacie niedoczynności tarczycy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E04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Wole nietoksyczne, inne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E05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Nadczynność tarczycy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E06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Zapalenie tarczycy</w:t>
            </w:r>
          </w:p>
        </w:tc>
      </w:tr>
      <w:tr w:rsidR="004F4FE4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E89.0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Pozabiegowa niedoczynność tarczycy</w:t>
            </w:r>
          </w:p>
        </w:tc>
      </w:tr>
    </w:tbl>
    <w:p w:rsidR="004F4FE4" w:rsidRDefault="00894FC4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Grupa dziedzinowa – Pulmonologia</w:t>
      </w:r>
    </w:p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(J41–J45) Przewlekłe choroby dolnych dróg oddechowych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J41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Przewlekłe zapalenie oskrzeli proste i śluzowo-ropne</w:t>
            </w:r>
          </w:p>
        </w:tc>
      </w:tr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J42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Nieokreślone przewlekłe zapalenie oskrzeli</w:t>
            </w:r>
          </w:p>
        </w:tc>
      </w:tr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J43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Rozedma płucna</w:t>
            </w:r>
          </w:p>
        </w:tc>
      </w:tr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J44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Inna przewlekła zaporowa choroba płuc</w:t>
            </w:r>
          </w:p>
        </w:tc>
      </w:tr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J45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Dychawica oskrzelowa</w:t>
            </w:r>
          </w:p>
        </w:tc>
      </w:tr>
    </w:tbl>
    <w:p w:rsidR="004F4FE4" w:rsidRDefault="00894FC4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>Grupa dziedzinowa – Nefrologia</w:t>
      </w:r>
    </w:p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(N18) Przewlekła niewydolność nerek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197"/>
      </w:tblGrid>
      <w:tr w:rsidR="004F4FE4">
        <w:trPr>
          <w:trHeight w:val="283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jc w:val="center"/>
              <w:rPr>
                <w:color w:val="000000"/>
                <w:u w:color="000000"/>
              </w:rPr>
            </w:pPr>
            <w:r>
              <w:t>N18</w:t>
            </w:r>
          </w:p>
        </w:tc>
        <w:tc>
          <w:tcPr>
            <w:tcW w:w="9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4F4FE4" w:rsidRDefault="00894FC4">
            <w:pPr>
              <w:rPr>
                <w:color w:val="000000"/>
                <w:u w:color="000000"/>
              </w:rPr>
            </w:pPr>
            <w:r>
              <w:t>Przewlekła niewydolność nerek</w:t>
            </w:r>
          </w:p>
        </w:tc>
      </w:tr>
    </w:tbl>
    <w:p w:rsidR="004F4FE4" w:rsidRDefault="00894FC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*Dopuszczalne jest sprawozdawanie poszczególnych rozpoznań z rozszerzeniami </w:t>
      </w:r>
      <w:r>
        <w:rPr>
          <w:color w:val="000000"/>
          <w:u w:color="000000"/>
        </w:rPr>
        <w:t>większymi niż 3-znakowe</w:t>
      </w:r>
    </w:p>
    <w:sectPr w:rsidR="004F4FE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E4"/>
    <w:rsid w:val="004F4FE4"/>
    <w:rsid w:val="008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C4485EF-5795-4276-82F2-99D06A64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2400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września 2023 r.</vt:lpstr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września 2023 r.</dc:title>
  <dc:subject>zmieniające zarządzenie w 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2023-11-02T14:32:00Z</dcterms:created>
  <dcterms:modified xsi:type="dcterms:W3CDTF">2023-11-02T14:32:00Z</dcterms:modified>
  <cp:category>Akt prawny</cp:category>
</cp:coreProperties>
</file>