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4D" w:rsidRDefault="006C3CC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143/2023/DGL</w:t>
      </w:r>
      <w:r>
        <w:br/>
        <w:t>Prezesa Narodowego Funduszu Zdrowia</w:t>
      </w:r>
      <w:r>
        <w:br/>
        <w:t>z dnia 2 października 2023 r.</w:t>
      </w:r>
    </w:p>
    <w:p w:rsidR="0040164D" w:rsidRDefault="006C3CC5">
      <w:pPr>
        <w:keepNext/>
        <w:spacing w:after="480"/>
        <w:jc w:val="center"/>
      </w:pPr>
      <w:r>
        <w:rPr>
          <w:b/>
        </w:rPr>
        <w:t>Katalog świadczeń i zakresów – leczenie szpitalne – programy lekowe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289"/>
        <w:gridCol w:w="2024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335"/>
        <w:gridCol w:w="1380"/>
        <w:gridCol w:w="1290"/>
        <w:gridCol w:w="1290"/>
        <w:gridCol w:w="1305"/>
        <w:gridCol w:w="1305"/>
      </w:tblGrid>
      <w:tr w:rsidR="0040164D">
        <w:trPr>
          <w:trHeight w:val="420"/>
        </w:trPr>
        <w:tc>
          <w:tcPr>
            <w:tcW w:w="3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</w:t>
            </w:r>
            <w:r>
              <w:rPr>
                <w:sz w:val="18"/>
              </w:rPr>
              <w:br/>
              <w:t>świadczenia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5.08.07.0000030</w:t>
            </w:r>
          </w:p>
        </w:tc>
      </w:tr>
      <w:tr w:rsidR="0040164D">
        <w:trPr>
          <w:trHeight w:val="2535"/>
        </w:trPr>
        <w:tc>
          <w:tcPr>
            <w:tcW w:w="3765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</w:t>
            </w:r>
            <w:r>
              <w:rPr>
                <w:sz w:val="18"/>
              </w:rPr>
              <w:t xml:space="preserve"> związana z wykonaniem programu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podaniem nu</w:t>
            </w:r>
            <w:r>
              <w:rPr>
                <w:sz w:val="18"/>
              </w:rPr>
              <w:t>sinersenu w znieczuleniu ogólnym lub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 warunkach d</w:t>
            </w:r>
            <w:r>
              <w:rPr>
                <w:sz w:val="18"/>
              </w:rPr>
              <w:t>omowych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</w:t>
            </w:r>
            <w:r>
              <w:rPr>
                <w:sz w:val="18"/>
              </w:rPr>
              <w:t>yjęcie pacjenta w trybie ambulatoryjnym połączone z podaniem toksyny botulinowej typu A w leczeniu migreny przewlekłej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 w:rsidR="0040164D">
        <w:trPr>
          <w:trHeight w:val="1155"/>
        </w:trPr>
        <w:tc>
          <w:tcPr>
            <w:tcW w:w="376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745,79</w:t>
            </w:r>
          </w:p>
        </w:tc>
      </w:tr>
      <w:tr w:rsidR="0040164D">
        <w:trPr>
          <w:trHeight w:val="435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przewlekłe wirusowe zapalenia </w:t>
            </w:r>
            <w:r>
              <w:rPr>
                <w:sz w:val="18"/>
              </w:rPr>
              <w:t>wątroby typu B 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zaawansowanego raka jelita grubego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</w:t>
            </w:r>
            <w:r>
              <w:rPr>
                <w:sz w:val="18"/>
              </w:rPr>
              <w:t>płuca oraz międzybłoniaka opłucnej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przewlekłą białaczkę </w:t>
            </w:r>
            <w:r>
              <w:rPr>
                <w:sz w:val="18"/>
              </w:rPr>
              <w:lastRenderedPageBreak/>
              <w:t>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przedwczesnego dojrzewania płciowego u dzieci lub zagrażającej patologicznej niskorosłości na skutek szybko postępującego </w:t>
            </w:r>
            <w:r>
              <w:rPr>
                <w:sz w:val="18"/>
              </w:rPr>
              <w:t>dojrzewania płciowego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ciężkich wrodzonych hiperhomocysteinemii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Pompego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Gauchera typu I oraz typu III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spastyczności w mózgowym porażeniu </w:t>
            </w:r>
            <w:r>
              <w:rPr>
                <w:sz w:val="18"/>
              </w:rPr>
              <w:t>dziecięcym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</w:t>
            </w:r>
            <w:r>
              <w:rPr>
                <w:sz w:val="18"/>
              </w:rPr>
              <w:t>postacią reumatoidalnego zapalenia stawów i młodzieńczego idiopatycznego zapalenia stawów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</w:t>
            </w:r>
            <w:r>
              <w:rPr>
                <w:sz w:val="18"/>
              </w:rPr>
              <w:t>postacią zesztywniającego zapalenia stawów kręgosłupa (ZZSK)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niskorosłych dzieci z przewlekłą </w:t>
            </w:r>
            <w:r>
              <w:rPr>
                <w:sz w:val="18"/>
              </w:rPr>
              <w:t>niewydolnością nerek (PNN)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płaskonabłonkowego raka narządów głowy i szyi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5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spastyczności kończyny górnej i/lub dolnej po udarze mózgu z użyciem toksyny botulinowej typu A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</w:t>
            </w:r>
            <w:r>
              <w:rPr>
                <w:sz w:val="18"/>
              </w:rPr>
              <w:t xml:space="preserve">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neurogennej nadreaktywności wypieracza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aktywną postać ziarniniakowatości z zapaleniem </w:t>
            </w:r>
            <w:r>
              <w:rPr>
                <w:sz w:val="18"/>
              </w:rPr>
              <w:t>naczyń (GPA) lub mikroskopowe zapalenie naczyń (MPA)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mielofibrozy pierwotnej oraz mielofibrozy wtórnej w przebiegu czerwienicy prawdziwej i nadpłytkowości samoistnej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aktywną postacią spondyloartropatii (SpA) bez zmian radiograficznych charakterystycznych dla ZZSK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wrodzonymi zespołami autozapalnymi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zaburzeń motorycznych w przebiegu zaawansowanej </w:t>
            </w:r>
            <w:r>
              <w:rPr>
                <w:sz w:val="18"/>
              </w:rPr>
              <w:t>choroby Parkinsona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Profilaktyka reaktywacji wirusowego zapalenia wątroby typu b u świadczeniobiorców po przeszczepach lub u świadczeniobiorców otrzymujących </w:t>
            </w:r>
            <w:r>
              <w:rPr>
                <w:sz w:val="18"/>
              </w:rPr>
              <w:t>leczenie związane z ryzykiem reaktywacji HBV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28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chorobami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agresywnej mastocytozy układowej, mastocytozy układowej z współistniejącym nowotworem układu krwiotwórczego oraz </w:t>
            </w:r>
            <w:r>
              <w:rPr>
                <w:sz w:val="18"/>
              </w:rPr>
              <w:t>białaczki mastocytarnej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603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ze zróżnicowanym rakiem </w:t>
            </w:r>
            <w:r>
              <w:rPr>
                <w:sz w:val="18"/>
              </w:rPr>
              <w:t>tarczycy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zapobiegawcze chorych z nawracającymi napadami dziedzicznego obrzęku naczynioruchowego o </w:t>
            </w:r>
            <w:r>
              <w:rPr>
                <w:sz w:val="18"/>
              </w:rPr>
              <w:t>ciężkim przebiegu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atopowego zapalenia 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zaawansowanego raka kolczystokomórkowego skóry cemiplimabem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27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chorych na </w:t>
            </w:r>
            <w:r>
              <w:rPr>
                <w:sz w:val="18"/>
              </w:rPr>
              <w:t>ciężką anemię aplastyczną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24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Stosowanie letermowiru w celu zapobiegania reaktywacji cytomegalowirusa (CMV) i rozwojowi choroby u dorosłych, seropozytywnych względem CMV pacjentów, którzy byli poddani zabiegowi przeszczepienia allogenicznych krwiotwórczych komórek </w:t>
            </w:r>
            <w:r>
              <w:rPr>
                <w:sz w:val="18"/>
              </w:rPr>
              <w:t>macierzystych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Zapobieganie powikłaniom kostnym u dorosłych pacjentów z zaawansowanym procesem nowotworowym obejmującym kości z </w:t>
            </w:r>
            <w:r>
              <w:rPr>
                <w:sz w:val="18"/>
              </w:rPr>
              <w:t>zastosowaniem denosumabu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4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Odczulanie wysoko </w:t>
            </w:r>
            <w:r>
              <w:rPr>
                <w:sz w:val="18"/>
              </w:rPr>
              <w:t>immunizowanych dorosłych potencjalnych biorców przeszczepu nerki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28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nowotworami neuroendokrynnymi układu pokarmowego z zastosowaniem radiofarmaceutyków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kwasem kargluminowym chorych z acyduriami organicznymi: </w:t>
            </w:r>
            <w:r>
              <w:rPr>
                <w:sz w:val="18"/>
              </w:rPr>
              <w:t>propionową, metylomalonową i izowalerianową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13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65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układową </w:t>
            </w:r>
            <w:r>
              <w:rPr>
                <w:sz w:val="18"/>
              </w:rPr>
              <w:t>amyloidozę łańcuchów lekkich (AL)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7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raka endometrium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02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40164D">
            <w:pPr>
              <w:jc w:val="center"/>
              <w:rPr>
                <w:color w:val="000000"/>
                <w:u w:color="000000"/>
              </w:rPr>
            </w:pPr>
          </w:p>
        </w:tc>
      </w:tr>
      <w:tr w:rsidR="0040164D">
        <w:trPr>
          <w:trHeight w:val="1095"/>
        </w:trPr>
        <w:tc>
          <w:tcPr>
            <w:tcW w:w="37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- za </w:t>
            </w:r>
            <w:r>
              <w:rPr>
                <w:color w:val="000000"/>
                <w:sz w:val="18"/>
                <w:u w:color="000000"/>
              </w:rPr>
              <w:t>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</w:t>
            </w:r>
            <w:r>
              <w:rPr>
                <w:color w:val="000000"/>
                <w:sz w:val="18"/>
                <w:u w:color="000000"/>
              </w:rPr>
              <w:t>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</w:t>
            </w:r>
            <w:r>
              <w:rPr>
                <w:sz w:val="18"/>
              </w:rPr>
              <w:t xml:space="preserve"> świadczeniami rozliczanymi w 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rozliczane raz na 3 miesiące (-14 dni) u pacjentów, u których po kompleksowej ocenie stanu zdrowia możliwe jest wyznaczenie kolejnego ter</w:t>
            </w:r>
            <w:r>
              <w:rPr>
                <w:color w:val="000000"/>
                <w:sz w:val="18"/>
                <w:u w:color="000000"/>
              </w:rPr>
              <w:t>minu wizyty za 3 m-ce;</w:t>
            </w:r>
            <w:r>
              <w:rPr>
                <w:color w:val="000000"/>
                <w:sz w:val="18"/>
                <w:u w:color="000000"/>
              </w:rPr>
              <w:br/>
              <w:t>- w okresie 3 miesięcy (-14 dni) od daty sprawozdania świadczenia o kodzie 5.08.07.0000026 nie dopuszcza się możliwości rozliczenia świadczenia o kodzie 5.08.07.0000001, 5.08.07.0000002, 5.08.07.0000003, 5.08.07.0000004;</w:t>
            </w:r>
            <w:r>
              <w:rPr>
                <w:color w:val="000000"/>
                <w:sz w:val="18"/>
                <w:u w:color="000000"/>
              </w:rPr>
              <w:br/>
              <w:t xml:space="preserve">- nie można </w:t>
            </w:r>
            <w:r>
              <w:rPr>
                <w:color w:val="000000"/>
                <w:sz w:val="18"/>
                <w:u w:color="000000"/>
              </w:rPr>
              <w:t>łączyć ze świadczeniami rozliczanymi w zał. nr 1a, 1b, 1e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nie 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- w przypadku realizacji zakresu o kodzie 03.0000.312.02 oraz 03.0000.365.02 dotyczy tylko kwalifikacji do leczenia tisagenlecl</w:t>
            </w:r>
            <w:r>
              <w:rPr>
                <w:color w:val="000000"/>
                <w:sz w:val="18"/>
                <w:u w:color="000000"/>
              </w:rPr>
              <w:t>eucelem albo aksykabtagenem cyloleucelu albo breksukabtagenem autoleucelu  przez zespół koordynacyjny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 w:rsidR="0040164D" w:rsidRDefault="006C3CC5">
            <w:pPr>
              <w:jc w:val="center"/>
            </w:pPr>
            <w:r>
              <w:rPr>
                <w:sz w:val="18"/>
              </w:rPr>
              <w:t>- nie można</w:t>
            </w:r>
            <w:r>
              <w:rPr>
                <w:sz w:val="18"/>
              </w:rPr>
              <w:t xml:space="preserve">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nie 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produkt możliwy do rozliczenia jedynie w przypadku zastosowania i wykazania do rozliczenia procedury zgodnie ze słownikiem ICD9:</w:t>
            </w:r>
            <w:r>
              <w:rPr>
                <w:color w:val="000000"/>
                <w:sz w:val="18"/>
                <w:u w:color="000000"/>
              </w:rPr>
              <w:t xml:space="preserve"> 89.394, 89.395 i/lub 88.793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0164D" w:rsidRDefault="006C3CC5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 w:rsidR="0040164D" w:rsidRDefault="0040164D"/>
    <w:sectPr w:rsidR="0040164D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4D"/>
    <w:rsid w:val="0040164D"/>
    <w:rsid w:val="006C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6A5BE88-2B82-469C-A7AD-704A22B6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2331</Words>
  <Characters>13992</Characters>
  <Application>Microsoft Office Word</Application>
  <DocSecurity>4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iwona.tomaszewska</dc:creator>
  <cp:lastModifiedBy>Skierka Monika</cp:lastModifiedBy>
  <cp:revision>2</cp:revision>
  <dcterms:created xsi:type="dcterms:W3CDTF">2023-10-02T12:57:00Z</dcterms:created>
  <dcterms:modified xsi:type="dcterms:W3CDTF">2023-10-02T12:57:00Z</dcterms:modified>
  <cp:category>Akt prawny</cp:category>
</cp:coreProperties>
</file>