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635" w:rsidRDefault="00433C4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133/2023/DSOZ</w:t>
      </w:r>
      <w:r>
        <w:br/>
        <w:t>Prezesa Narodowego Funduszu Zdrowia</w:t>
      </w:r>
      <w:r>
        <w:br/>
        <w:t>z dnia 11 września 2023 r.</w:t>
      </w:r>
    </w:p>
    <w:p w:rsidR="00282635" w:rsidRDefault="00433C4F">
      <w:pPr>
        <w:keepNext/>
        <w:spacing w:after="480"/>
        <w:jc w:val="center"/>
      </w:pPr>
      <w:r>
        <w:rPr>
          <w:b/>
        </w:rPr>
        <w:t>OPIS PRZEDMIOTU 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175"/>
        <w:gridCol w:w="7351"/>
      </w:tblGrid>
      <w:tr w:rsidR="00282635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2635" w:rsidRDefault="00433C4F">
            <w:pPr>
              <w:jc w:val="center"/>
            </w:pPr>
            <w:r>
              <w:rPr>
                <w:b/>
              </w:rPr>
              <w:t>Opis świadczenia</w:t>
            </w:r>
          </w:p>
        </w:tc>
      </w:tr>
      <w:tr w:rsidR="00282635">
        <w:tc>
          <w:tcPr>
            <w:tcW w:w="100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82635" w:rsidRDefault="00433C4F">
            <w:pPr>
              <w:jc w:val="center"/>
            </w:pPr>
            <w:r>
              <w:rPr>
                <w:b/>
              </w:rPr>
              <w:t>KOMPLEKSOWA OPIEKA PO ZAWALE MIĘŚNIA SERCOWEGO (KOS-zawał)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rPr>
                <w:b/>
              </w:rPr>
              <w:t>1.</w:t>
            </w:r>
          </w:p>
        </w:tc>
        <w:tc>
          <w:tcPr>
            <w:tcW w:w="95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center"/>
            </w:pPr>
            <w:r>
              <w:rPr>
                <w:b/>
              </w:rPr>
              <w:t>Charakterystyka świadczenia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1.1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 xml:space="preserve">Nazwa </w:t>
            </w:r>
            <w:r>
              <w:t>zakresu świadczeń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rPr>
                <w:b/>
              </w:rPr>
              <w:t>Kod zakresu 03.4100.500.02: Kompleksowa opieka po zawale mięśnia sercowego (KOS-zawał)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1.2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 xml:space="preserve">Kryteria kwalifikacji świadczeniobiorców wymagających udzielenia świadczenia 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Zgodnie z załącznikiem nr 4 lp. 36 do rozporządzenia szpitalnego.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1.3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Określenie świadczenia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Kompleksowa opieka po zawale mięśnia sercowego obejmuje świadczenia opieki zdrowotnej określone w lp. 36 załącznika nr 4 do rozporządzenia szpitalnego, lp. 21 załącznika nr 5 do rozporządzenia ambulatoryjnego oraz załączniku nr 5</w:t>
            </w:r>
            <w:r>
              <w:t xml:space="preserve"> do rozporządzenia rehabilitacyjnego.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1.4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Częstość występowania zgonów sercowo - naczyniowych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W Polsce w ciągu roku po wystąpieniu zawału około 38% wszystkich obserwowanych zgonów ma podłoże sercowo – naczyniowe.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1.5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Specyfikacja zasadniczych procedur me</w:t>
            </w:r>
            <w:r>
              <w:t>dycznych wykonywanych w trakcie udzielania świadczenia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C53 Morfologia krwi 8-parametrowa</w:t>
            </w:r>
          </w:p>
          <w:p w:rsidR="00282635" w:rsidRDefault="00433C4F">
            <w:pPr>
              <w:jc w:val="left"/>
            </w:pPr>
            <w:r>
              <w:t>L43 Glukoza</w:t>
            </w:r>
          </w:p>
          <w:p w:rsidR="00282635" w:rsidRDefault="00433C4F">
            <w:pPr>
              <w:jc w:val="left"/>
            </w:pPr>
            <w:r>
              <w:t>N45 Potas (K)</w:t>
            </w:r>
          </w:p>
          <w:p w:rsidR="00282635" w:rsidRDefault="00433C4F">
            <w:pPr>
              <w:jc w:val="left"/>
            </w:pPr>
            <w:r>
              <w:t>M37 Kreatynina</w:t>
            </w:r>
          </w:p>
          <w:p w:rsidR="00282635" w:rsidRDefault="00433C4F">
            <w:pPr>
              <w:jc w:val="left"/>
            </w:pPr>
            <w:r>
              <w:t>K01 Cholesterol HDL</w:t>
            </w:r>
          </w:p>
          <w:p w:rsidR="00282635" w:rsidRDefault="00433C4F">
            <w:pPr>
              <w:jc w:val="left"/>
            </w:pPr>
            <w:r>
              <w:t>K03 Cholesterol LDL</w:t>
            </w:r>
          </w:p>
          <w:p w:rsidR="00282635" w:rsidRDefault="00433C4F">
            <w:pPr>
              <w:jc w:val="left"/>
            </w:pPr>
            <w:r>
              <w:t>I81 stężenie białka C-reaktywnego (CRP)</w:t>
            </w:r>
          </w:p>
          <w:p w:rsidR="00282635" w:rsidRDefault="00433C4F">
            <w:pPr>
              <w:jc w:val="left"/>
            </w:pPr>
            <w:r>
              <w:t>I17 Aminotransferaza alaninowa (ALT)</w:t>
            </w:r>
          </w:p>
          <w:p w:rsidR="00282635" w:rsidRDefault="00433C4F">
            <w:pPr>
              <w:jc w:val="left"/>
            </w:pPr>
            <w:r>
              <w:t xml:space="preserve">00.40 </w:t>
            </w:r>
            <w:r>
              <w:t>Zabieg na pojedynczym naczyniu</w:t>
            </w:r>
          </w:p>
          <w:p w:rsidR="00282635" w:rsidRDefault="00433C4F">
            <w:pPr>
              <w:jc w:val="left"/>
            </w:pPr>
            <w:r>
              <w:t>00.41 Zabieg na dwóch naczyniach</w:t>
            </w:r>
          </w:p>
          <w:p w:rsidR="00282635" w:rsidRDefault="00433C4F">
            <w:pPr>
              <w:jc w:val="left"/>
            </w:pPr>
            <w:r>
              <w:t>00.42 Zabieg na trzech naczyniach</w:t>
            </w:r>
          </w:p>
          <w:p w:rsidR="00282635" w:rsidRDefault="00433C4F">
            <w:pPr>
              <w:jc w:val="left"/>
            </w:pPr>
            <w:r>
              <w:t>00.43 Zabieg na czterech lub więcej naczyniach</w:t>
            </w:r>
          </w:p>
          <w:p w:rsidR="00282635" w:rsidRDefault="00433C4F">
            <w:pPr>
              <w:jc w:val="left"/>
            </w:pPr>
            <w:r>
              <w:t>00.45 Wprowadzenie jednego stentu naczyniowego</w:t>
            </w:r>
          </w:p>
          <w:p w:rsidR="00282635" w:rsidRDefault="00433C4F">
            <w:pPr>
              <w:jc w:val="left"/>
            </w:pPr>
            <w:r>
              <w:t>00.46 Wprowadzenie dwóch stentów naczyniowych</w:t>
            </w:r>
          </w:p>
          <w:p w:rsidR="00282635" w:rsidRDefault="00433C4F">
            <w:pPr>
              <w:jc w:val="left"/>
            </w:pPr>
            <w:r>
              <w:t>00.47 Wprowadzenie</w:t>
            </w:r>
            <w:r>
              <w:t xml:space="preserve"> trzech stentów naczyniowych</w:t>
            </w:r>
          </w:p>
          <w:p w:rsidR="00282635" w:rsidRDefault="00433C4F">
            <w:pPr>
              <w:jc w:val="left"/>
            </w:pPr>
            <w:r>
              <w:t>00.48 Wprowadzenie czterech lub więcej stentów naczyniowych</w:t>
            </w:r>
          </w:p>
          <w:p w:rsidR="00282635" w:rsidRDefault="00433C4F">
            <w:pPr>
              <w:jc w:val="left"/>
            </w:pPr>
            <w:r>
              <w:t>00.50 Wszczepienie układu resynchronizującego serce bez funkcji defibrylacji [CRT-P]00.51 Wszczepienie układu resynchronizującego serce z funkcją defibrylacji [CRT-D]</w:t>
            </w:r>
          </w:p>
          <w:p w:rsidR="00282635" w:rsidRDefault="00433C4F">
            <w:pPr>
              <w:jc w:val="left"/>
            </w:pPr>
            <w:r>
              <w:t>00.531 Wszczepienie lub wymiana systemu umiarawiania pracy serca, generatora impulsów regulującego rytm serca (tylko) [CRT-P]</w:t>
            </w:r>
          </w:p>
          <w:p w:rsidR="00282635" w:rsidRDefault="00433C4F">
            <w:pPr>
              <w:jc w:val="left"/>
            </w:pPr>
            <w:r>
              <w:t>00.532 Wszczepienie urządzenia CRT-P z usunięciem jakiegokolwiek istniejącego urządzenia CRT-P lub innego regulującego rytm serca</w:t>
            </w:r>
          </w:p>
          <w:p w:rsidR="00282635" w:rsidRDefault="00433C4F">
            <w:pPr>
              <w:jc w:val="left"/>
            </w:pPr>
            <w:r>
              <w:t>00.542 Wszczepienie urządzenia CRT-D z usunięciem jakiegokolwiek istniejącego urządzenia CRT-D, CRT-P, rozrusznika lub defibrylatora</w:t>
            </w:r>
          </w:p>
          <w:p w:rsidR="00282635" w:rsidRDefault="00433C4F">
            <w:pPr>
              <w:jc w:val="left"/>
            </w:pPr>
            <w:r>
              <w:t>00.661 Przezskórna angioplastyka wieńcowa (PCI) z zastosowaniem balonu</w:t>
            </w:r>
          </w:p>
          <w:p w:rsidR="00282635" w:rsidRDefault="00433C4F">
            <w:pPr>
              <w:jc w:val="left"/>
            </w:pPr>
            <w:r>
              <w:t>00.662 Aterektomia wieńcowa</w:t>
            </w:r>
          </w:p>
          <w:p w:rsidR="00282635" w:rsidRDefault="00433C4F">
            <w:pPr>
              <w:jc w:val="left"/>
            </w:pPr>
            <w:r>
              <w:t>00.668 Przezskórna angio</w:t>
            </w:r>
            <w:r>
              <w:t>plastyka wieńcowa (PCI) z zastosowaniem balonu tnącego</w:t>
            </w:r>
          </w:p>
          <w:p w:rsidR="00282635" w:rsidRDefault="00433C4F">
            <w:pPr>
              <w:jc w:val="left"/>
            </w:pPr>
            <w:r>
              <w:t xml:space="preserve">36.061 Wprowadzenie stentu(ów) nieuwalniającego leków antyproliferacyjnych, </w:t>
            </w:r>
            <w:r>
              <w:lastRenderedPageBreak/>
              <w:t>do naczynia wieńcowego - stent niepowlekany</w:t>
            </w:r>
          </w:p>
          <w:p w:rsidR="00282635" w:rsidRDefault="00433C4F">
            <w:pPr>
              <w:jc w:val="left"/>
            </w:pPr>
            <w:r>
              <w:t>36.062 Wprowadzenie stentu(ów) nieuwalniającego leków antyproliferacyjnych, do na</w:t>
            </w:r>
            <w:r>
              <w:t>czynia wieńcowego - stent powlekany</w:t>
            </w:r>
          </w:p>
          <w:p w:rsidR="00282635" w:rsidRDefault="00433C4F">
            <w:pPr>
              <w:jc w:val="left"/>
            </w:pPr>
            <w:r>
              <w:t>36.063 Wprowadzenie stentu(ów) nieuwalniającego leków antyproliferacyjnych, do naczynia wieńcowego - stent pokrywany, np. heparyną</w:t>
            </w:r>
          </w:p>
          <w:p w:rsidR="00282635" w:rsidRDefault="00433C4F">
            <w:pPr>
              <w:jc w:val="left"/>
            </w:pPr>
            <w:r>
              <w:t>36.065 Wprowadzenie stentu samorozprężalnego do tętnicy wieńcowej</w:t>
            </w:r>
          </w:p>
          <w:p w:rsidR="00282635" w:rsidRDefault="00433C4F">
            <w:pPr>
              <w:jc w:val="left"/>
            </w:pPr>
            <w:r>
              <w:t xml:space="preserve">36.070 Wprowadzenie </w:t>
            </w:r>
            <w:r>
              <w:t>jednego stentu uwalniającego leki do tętnicy wieńcowej</w:t>
            </w:r>
          </w:p>
          <w:p w:rsidR="00282635" w:rsidRDefault="00433C4F">
            <w:pPr>
              <w:jc w:val="left"/>
            </w:pPr>
            <w:r>
              <w:t>36.071 Wprowadzenie dwóch stentów uwalniających leki do tętnicy wieńcowe</w:t>
            </w:r>
          </w:p>
          <w:p w:rsidR="00282635" w:rsidRDefault="00433C4F">
            <w:pPr>
              <w:jc w:val="left"/>
            </w:pPr>
            <w:r>
              <w:t>36.072 Wprowadzenie trzech stentów uwalniających leki do tętnicy wieńcowej (zmiana krotności poprzez kod procedury)</w:t>
            </w:r>
          </w:p>
          <w:p w:rsidR="00282635" w:rsidRDefault="00433C4F">
            <w:pPr>
              <w:jc w:val="left"/>
            </w:pPr>
            <w:r>
              <w:t>36.073 Wprow</w:t>
            </w:r>
            <w:r>
              <w:t>adzenie czterech stentów uwalniających leki do tętnicy wieńcowej (zmiana krotności poprzez kod procedury)</w:t>
            </w:r>
          </w:p>
          <w:p w:rsidR="00282635" w:rsidRDefault="00433C4F">
            <w:pPr>
              <w:jc w:val="left"/>
            </w:pPr>
            <w:r>
              <w:t>36.074 Wprowadzenie pięciu stentów uwalniających leki do tętnicy wieńcowej</w:t>
            </w:r>
          </w:p>
          <w:p w:rsidR="00282635" w:rsidRDefault="00433C4F">
            <w:pPr>
              <w:jc w:val="left"/>
            </w:pPr>
            <w:r>
              <w:t>36.091 Angioplastyka wieńcowa nie określona inaczej</w:t>
            </w:r>
          </w:p>
          <w:p w:rsidR="00282635" w:rsidRDefault="00433C4F">
            <w:pPr>
              <w:jc w:val="left"/>
            </w:pPr>
            <w:r>
              <w:t>36.101 Bezpośrednia rew</w:t>
            </w:r>
            <w:r>
              <w:t>askularyzacja mięśnia sercowego przy pomocy wewnętrznego poszerzenia światła tętnicy wieńcowej/sztucznej wstawki naczyniowej/żyły jako wstawki naczyniowej</w:t>
            </w:r>
          </w:p>
          <w:p w:rsidR="00282635" w:rsidRDefault="00433C4F">
            <w:pPr>
              <w:jc w:val="left"/>
            </w:pPr>
            <w:r>
              <w:t>36.11 Pomost aortalno-wieńcowy (1 tętnica wieńcowa)</w:t>
            </w:r>
          </w:p>
          <w:p w:rsidR="00282635" w:rsidRDefault="00433C4F">
            <w:pPr>
              <w:jc w:val="left"/>
            </w:pPr>
            <w:r>
              <w:t>36.12 Pomosty aortalno-wieńcowe (2 tętnice wieńco</w:t>
            </w:r>
            <w:r>
              <w:t>we)</w:t>
            </w:r>
          </w:p>
          <w:p w:rsidR="00282635" w:rsidRDefault="00433C4F">
            <w:pPr>
              <w:jc w:val="left"/>
            </w:pPr>
            <w:r>
              <w:t>36.13 Pomosty aortalno-wieńcowe (3 tętnice wieńcowe)</w:t>
            </w:r>
          </w:p>
          <w:p w:rsidR="00282635" w:rsidRDefault="00433C4F">
            <w:pPr>
              <w:jc w:val="left"/>
            </w:pPr>
            <w:r>
              <w:t>36.15 Pomost tętnica piersiowa wewnętrzna tętnica wieńcowa (pojedyncze naczynie)</w:t>
            </w:r>
          </w:p>
          <w:p w:rsidR="00282635" w:rsidRDefault="00433C4F">
            <w:pPr>
              <w:jc w:val="left"/>
            </w:pPr>
            <w:r>
              <w:t>36.16 Pomosty tętnica piersiowa wewnętrzna - tętnice wieńcowe (dwa naczynia)</w:t>
            </w:r>
          </w:p>
          <w:p w:rsidR="00282635" w:rsidRDefault="00433C4F">
            <w:pPr>
              <w:jc w:val="left"/>
            </w:pPr>
            <w:r>
              <w:t>36.17 Pomost brzuszno-wieńcowy</w:t>
            </w:r>
          </w:p>
          <w:p w:rsidR="00282635" w:rsidRDefault="00433C4F">
            <w:pPr>
              <w:jc w:val="left"/>
            </w:pPr>
            <w:r>
              <w:t xml:space="preserve">36.19 </w:t>
            </w:r>
            <w:r>
              <w:t>Pomosty dla rewaskularyzacji serca - inne</w:t>
            </w:r>
          </w:p>
          <w:p w:rsidR="00282635" w:rsidRDefault="00433C4F">
            <w:pPr>
              <w:jc w:val="left"/>
            </w:pPr>
            <w:r>
              <w:t>37.21 Cewnikowanie prawego serca</w:t>
            </w:r>
          </w:p>
          <w:p w:rsidR="00282635" w:rsidRDefault="00433C4F">
            <w:pPr>
              <w:jc w:val="left"/>
            </w:pPr>
            <w:r>
              <w:t>37.22 Cewnikowanie lewego serca</w:t>
            </w:r>
          </w:p>
          <w:p w:rsidR="00282635" w:rsidRDefault="00433C4F">
            <w:pPr>
              <w:jc w:val="left"/>
            </w:pPr>
            <w:r>
              <w:t>37.23 Cewnikowanie lewego i prawego serca</w:t>
            </w:r>
          </w:p>
          <w:p w:rsidR="00282635" w:rsidRDefault="00433C4F">
            <w:pPr>
              <w:jc w:val="left"/>
            </w:pPr>
            <w:r>
              <w:t>37.261 Badania elektrofizjologiczne [EPS]</w:t>
            </w:r>
          </w:p>
          <w:p w:rsidR="00282635" w:rsidRDefault="00433C4F">
            <w:pPr>
              <w:jc w:val="left"/>
            </w:pPr>
            <w:r>
              <w:t>37.80 Wprowadzenie stałego rozrusznika serca - inne</w:t>
            </w:r>
          </w:p>
          <w:p w:rsidR="00282635" w:rsidRDefault="00433C4F">
            <w:pPr>
              <w:jc w:val="left"/>
            </w:pPr>
            <w:r>
              <w:t>37.82 Wszczep</w:t>
            </w:r>
            <w:r>
              <w:t>ienie rozrusznika jednojamowego</w:t>
            </w:r>
          </w:p>
          <w:p w:rsidR="00282635" w:rsidRDefault="00433C4F">
            <w:pPr>
              <w:jc w:val="left"/>
            </w:pPr>
            <w:r>
              <w:t>37.83 Wszczepienie rozrusznika dwujamowego</w:t>
            </w:r>
          </w:p>
          <w:p w:rsidR="00282635" w:rsidRDefault="00433C4F">
            <w:pPr>
              <w:jc w:val="left"/>
            </w:pPr>
            <w:r>
              <w:t>37.86 Wymiana rozrusznika jednojamowego</w:t>
            </w:r>
          </w:p>
          <w:p w:rsidR="00282635" w:rsidRDefault="00433C4F">
            <w:pPr>
              <w:jc w:val="left"/>
            </w:pPr>
            <w:r>
              <w:t>37.87 Wymiana rozrusznika dwujamowego</w:t>
            </w:r>
          </w:p>
          <w:p w:rsidR="00282635" w:rsidRDefault="00433C4F">
            <w:pPr>
              <w:jc w:val="left"/>
            </w:pPr>
            <w:r>
              <w:t>37.941 Wszczepienie całkowitego automatycznego systemu do kardiowersji lub defibrylacji [ICD] – jednoja</w:t>
            </w:r>
            <w:r>
              <w:t>mowego</w:t>
            </w:r>
          </w:p>
          <w:p w:rsidR="00282635" w:rsidRDefault="00433C4F">
            <w:pPr>
              <w:jc w:val="left"/>
            </w:pPr>
            <w:r>
              <w:t>37.943 Wszczepienie całkowitego automatycznego systemu do kardiowersji lub defibrylacji [ICD] – dwujamowego</w:t>
            </w:r>
          </w:p>
          <w:p w:rsidR="00282635" w:rsidRDefault="00433C4F">
            <w:pPr>
              <w:jc w:val="left"/>
            </w:pPr>
            <w:r>
              <w:t>37.947 Wszczepienie całkowicie podskórnego kardiowertera-defibrylatora (S-ICD)</w:t>
            </w:r>
          </w:p>
          <w:p w:rsidR="00282635" w:rsidRDefault="00433C4F">
            <w:pPr>
              <w:jc w:val="left"/>
            </w:pPr>
            <w:r>
              <w:t>37.948 Wymiana całkowicie podskórnego kardiowertera-defibrylat</w:t>
            </w:r>
            <w:r>
              <w:t>ora (S-ICD)</w:t>
            </w:r>
          </w:p>
          <w:p w:rsidR="00282635" w:rsidRDefault="00433C4F">
            <w:pPr>
              <w:jc w:val="left"/>
            </w:pPr>
            <w:r>
              <w:t>88.522 Angiokardiografia: prawego przedsionka</w:t>
            </w:r>
          </w:p>
          <w:p w:rsidR="00282635" w:rsidRDefault="00433C4F">
            <w:pPr>
              <w:jc w:val="left"/>
            </w:pPr>
            <w:r>
              <w:t>88.523 Angiokardiografia: prawej komory (drogi wypływu)</w:t>
            </w:r>
          </w:p>
          <w:p w:rsidR="00282635" w:rsidRDefault="00433C4F">
            <w:pPr>
              <w:jc w:val="left"/>
            </w:pPr>
            <w:r>
              <w:t>88.532 Angiokardiografia: lewego przedsionka</w:t>
            </w:r>
          </w:p>
          <w:p w:rsidR="00282635" w:rsidRDefault="00433C4F">
            <w:pPr>
              <w:jc w:val="left"/>
            </w:pPr>
            <w:r>
              <w:t>88.533 Angiokardiografia: lewej komory (drogi wypływu)</w:t>
            </w:r>
          </w:p>
          <w:p w:rsidR="00282635" w:rsidRDefault="00433C4F">
            <w:pPr>
              <w:jc w:val="left"/>
            </w:pPr>
            <w:r>
              <w:t>88.54 Angiokardiografia lewego i prawego s</w:t>
            </w:r>
            <w:r>
              <w:t>erca</w:t>
            </w:r>
          </w:p>
          <w:p w:rsidR="00282635" w:rsidRDefault="00433C4F">
            <w:pPr>
              <w:jc w:val="left"/>
            </w:pPr>
            <w:r>
              <w:t>88.55 Koronarografia z użyciem jednego cewnika lub</w:t>
            </w:r>
          </w:p>
          <w:p w:rsidR="00282635" w:rsidRDefault="00433C4F">
            <w:pPr>
              <w:jc w:val="left"/>
            </w:pPr>
            <w:r>
              <w:t>88.56 Koronarografia z użyciem dwóch cewników</w:t>
            </w:r>
          </w:p>
          <w:p w:rsidR="00282635" w:rsidRDefault="00433C4F">
            <w:pPr>
              <w:jc w:val="left"/>
            </w:pPr>
            <w:r>
              <w:t>89.00 Badanie i porada lekarska, konsultacja</w:t>
            </w:r>
          </w:p>
          <w:p w:rsidR="00282635" w:rsidRDefault="00433C4F">
            <w:pPr>
              <w:jc w:val="left"/>
            </w:pPr>
            <w:r>
              <w:t>89.41 Badanie wysiłkowe serca na bieżni ruchomej</w:t>
            </w:r>
          </w:p>
          <w:p w:rsidR="00282635" w:rsidRDefault="00433C4F">
            <w:pPr>
              <w:jc w:val="left"/>
            </w:pPr>
            <w:r>
              <w:t>89.43 Badanie wysiłkowe serca na ergometrze rowerowym</w:t>
            </w:r>
          </w:p>
          <w:p w:rsidR="00282635" w:rsidRDefault="00433C4F">
            <w:pPr>
              <w:jc w:val="left"/>
            </w:pPr>
            <w:r>
              <w:t>89.442</w:t>
            </w:r>
            <w:r>
              <w:t xml:space="preserve"> Sześciominutowy test marszu</w:t>
            </w:r>
          </w:p>
          <w:p w:rsidR="00282635" w:rsidRDefault="00433C4F">
            <w:pPr>
              <w:jc w:val="left"/>
            </w:pPr>
            <w:r>
              <w:t>89.511 Elektrokardiografia z 1-3 odprowadzeniami lub</w:t>
            </w:r>
          </w:p>
          <w:p w:rsidR="00282635" w:rsidRDefault="00433C4F">
            <w:pPr>
              <w:jc w:val="left"/>
            </w:pPr>
            <w:r>
              <w:t>89.522 Elektrokardiografia z 12 lub więcej odprowadzeniami (z opisem)</w:t>
            </w:r>
          </w:p>
          <w:p w:rsidR="00282635" w:rsidRDefault="00433C4F">
            <w:pPr>
              <w:jc w:val="left"/>
            </w:pPr>
            <w:r>
              <w:t>93.86 Terapia psychologiczna lub neurologopedyczna</w:t>
            </w:r>
          </w:p>
          <w:p w:rsidR="00282635" w:rsidRDefault="00433C4F">
            <w:pPr>
              <w:jc w:val="left"/>
            </w:pPr>
            <w:r>
              <w:t>93.1812 Czynne ćwiczenia oddechowe</w:t>
            </w:r>
          </w:p>
          <w:p w:rsidR="00282635" w:rsidRDefault="00433C4F">
            <w:pPr>
              <w:jc w:val="left"/>
            </w:pPr>
            <w:r>
              <w:t xml:space="preserve">93.1813 Ćwiczenia </w:t>
            </w:r>
            <w:r>
              <w:t>oddechowe czynne z oporem</w:t>
            </w:r>
          </w:p>
          <w:p w:rsidR="00282635" w:rsidRDefault="00433C4F">
            <w:pPr>
              <w:jc w:val="left"/>
            </w:pPr>
            <w:r>
              <w:t>93.3601 Trening interwałowy na bieżni lub cykloergometrze rowerowym</w:t>
            </w:r>
          </w:p>
          <w:p w:rsidR="00282635" w:rsidRDefault="00433C4F">
            <w:pPr>
              <w:jc w:val="left"/>
            </w:pPr>
            <w:r>
              <w:t>93.3602 Trening ciągły na bieżni lub cykloergometrze rowerowym</w:t>
            </w:r>
          </w:p>
          <w:p w:rsidR="00282635" w:rsidRDefault="00433C4F">
            <w:pPr>
              <w:jc w:val="left"/>
            </w:pPr>
            <w:r>
              <w:t>93.3603 Trening stacyjny</w:t>
            </w:r>
          </w:p>
          <w:p w:rsidR="00282635" w:rsidRDefault="00433C4F">
            <w:pPr>
              <w:jc w:val="left"/>
            </w:pPr>
            <w:r>
              <w:t>93.3604 Trening marszowy</w:t>
            </w:r>
          </w:p>
          <w:p w:rsidR="00282635" w:rsidRDefault="00433C4F">
            <w:pPr>
              <w:jc w:val="left"/>
            </w:pPr>
            <w:r>
              <w:t>93.3605 Trening marszowy z przyborami</w:t>
            </w:r>
          </w:p>
          <w:p w:rsidR="00282635" w:rsidRDefault="00433C4F">
            <w:pPr>
              <w:jc w:val="left"/>
            </w:pPr>
            <w:r>
              <w:t>94.08 Ocena</w:t>
            </w:r>
            <w:r>
              <w:t xml:space="preserve"> stanu psychicznego</w:t>
            </w:r>
          </w:p>
          <w:p w:rsidR="00282635" w:rsidRDefault="00433C4F">
            <w:pPr>
              <w:jc w:val="left"/>
            </w:pPr>
            <w:r>
              <w:t>94.335 Trening autogenny</w:t>
            </w:r>
          </w:p>
          <w:p w:rsidR="00282635" w:rsidRDefault="00433C4F">
            <w:pPr>
              <w:jc w:val="left"/>
            </w:pPr>
            <w:r>
              <w:t>oraz w uzasadnionych klinicznie przypadkach inne procedury ICD-9 zawarte w rozporządzeniu szpitalnym, w rozporządzeniu ambulatoryjnym, w rozporządzeniu rehabilitacyjnym.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lastRenderedPageBreak/>
              <w:t>1.6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Oczekiwane wyniki postępowania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 xml:space="preserve">Kompleksowa opieka kardiologiczna po zawale mięśnia sercowego oparta na wdrożeniu leczenia interwencyjnego oraz kardiochirurgicznego ma zapewnić właściwe postępowanie terapeutyczne z pacjentami po zawale serca i obniżyć śmiertelność szpitalną oraz wczesną </w:t>
            </w:r>
            <w:r>
              <w:t>po incydencie sercowo-naczyniowym. Wczesna rehabilitacja kardiologiczna i monitorowanie w ramach kardiologicznej opieki specjalistycznej wskaźników dotyczących jakości opieki nad pacjentem ma zapewnić właściwą kontrolę czynników ryzyka, co może wpłynąć poz</w:t>
            </w:r>
            <w:r>
              <w:t>ytywnie na obniżenie odsetka śmiertelności odległej, jak również ma na celu przywrócenie zdolności do pracy osobom, które w następstwie choroby są zagrożone długotrwałą niezdolnością do pracy i jednocześnie rokują odzyskanie tej zdolności po przeprowadzeni</w:t>
            </w:r>
            <w:r>
              <w:t>u rehabilitacji.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rPr>
                <w:b/>
              </w:rPr>
              <w:t>2.</w:t>
            </w:r>
          </w:p>
        </w:tc>
        <w:tc>
          <w:tcPr>
            <w:tcW w:w="95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rPr>
                <w:b/>
              </w:rPr>
              <w:t>Warunki wykonania i finansowania świadczenia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2.1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Warunki wykonania świadczenia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2635" w:rsidRDefault="00433C4F">
            <w:pPr>
              <w:jc w:val="left"/>
            </w:pPr>
            <w:r>
              <w:t xml:space="preserve">Zgodnie z warunkami określonymi w lp. 36 załącznika nr 4 do rozporządzenia szpitalnego, w lp. 21 załącznika nr 5 do rozporządzenia ambulatoryjnego oraz w </w:t>
            </w:r>
            <w:r>
              <w:t>załączniku nr 5 do rozporządzenia rehabilitacyjnego.</w:t>
            </w:r>
          </w:p>
        </w:tc>
      </w:tr>
      <w:tr w:rsidR="00282635"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2.2</w:t>
            </w:r>
          </w:p>
        </w:tc>
        <w:tc>
          <w:tcPr>
            <w:tcW w:w="21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Organizacja udzielania świadczenia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Zgodnie z warunkami określonymi w lp. 36 załącznika nr 4 do rozporządzenia szpitalnego, lp. 21 załącznika nr 5 do rozporządzenia ambulatoryjnego oraz załączniku nr</w:t>
            </w:r>
            <w:r>
              <w:t xml:space="preserve"> 5 do rozporządzenia rehabilitacyjnego.</w:t>
            </w:r>
          </w:p>
          <w:p w:rsidR="00282635" w:rsidRDefault="00433C4F">
            <w:pPr>
              <w:jc w:val="left"/>
            </w:pPr>
            <w:r>
              <w:t>Kompleksowa opieka skoordynowana przez jeden ośrodek – podmiot koordynujący, realizowana jest w różnych komórkach organizacyjnych (podmiotach), zgodnie ze schematem organizacyjnym realizacji kompleksowej opieki po za</w:t>
            </w:r>
            <w:r>
              <w:t>wale mięśnia sercowego (KOS-zawał), opracowanym przez podmiot koordynujący.</w:t>
            </w:r>
          </w:p>
          <w:p w:rsidR="00282635" w:rsidRDefault="00433C4F">
            <w:pPr>
              <w:jc w:val="left"/>
            </w:pPr>
            <w:r>
              <w:t>Podmiotem koordynującym jest szpital posiadający oddział kardiologiczny.</w:t>
            </w:r>
          </w:p>
          <w:p w:rsidR="00282635" w:rsidRDefault="00433C4F">
            <w:pPr>
              <w:jc w:val="left"/>
            </w:pPr>
            <w:r>
              <w:t xml:space="preserve">W przypadku, gdy pacjent po diagnostyce inwazyjnej nie kwalifikuje się do objęcia opieką w ramach </w:t>
            </w:r>
            <w:r>
              <w:t>KOS-zawał, odnotowuje ten fakt w historii choroby oraz niezwłocznie w systemie informatycznym dedykowanym do monitorowania KOS-zawał, po jego udostępnieniu przez NFZ.</w:t>
            </w:r>
          </w:p>
          <w:p w:rsidR="00282635" w:rsidRDefault="00433C4F">
            <w:pPr>
              <w:jc w:val="left"/>
            </w:pPr>
            <w:r>
              <w:t xml:space="preserve">Po zakończeniu udzielania świadczenia w ramach KOS-zawał podmiot koordynujący przekazuje </w:t>
            </w:r>
            <w:r>
              <w:t>informacje lekarzowi POZ/AOS o świadczeniach zalecanych pacjentowi.</w:t>
            </w:r>
          </w:p>
          <w:p w:rsidR="00282635" w:rsidRDefault="00433C4F">
            <w:pPr>
              <w:jc w:val="left"/>
            </w:pPr>
            <w:r>
              <w:t>Opieka nad pacjentem po zawale serca obejmuje leczenie, rehabilitację i monitorowanie procesu terapeutycznego.</w:t>
            </w:r>
          </w:p>
        </w:tc>
      </w:tr>
      <w:tr w:rsidR="00282635"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282635">
            <w:pPr>
              <w:jc w:val="left"/>
            </w:pPr>
          </w:p>
        </w:tc>
        <w:tc>
          <w:tcPr>
            <w:tcW w:w="21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282635">
            <w:pPr>
              <w:jc w:val="left"/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2635" w:rsidRDefault="00433C4F">
            <w:pPr>
              <w:jc w:val="left"/>
            </w:pPr>
            <w:r>
              <w:rPr>
                <w:b/>
              </w:rPr>
              <w:t xml:space="preserve">LECZENIE </w:t>
            </w:r>
            <w:r>
              <w:t>obejmuje:</w:t>
            </w:r>
          </w:p>
          <w:p w:rsidR="00282635" w:rsidRDefault="00433C4F">
            <w:pPr>
              <w:jc w:val="left"/>
            </w:pPr>
            <w:r>
              <w:t>1) hospitalizację pacjenta z powodu zawału serca w trak</w:t>
            </w:r>
            <w:r>
              <w:t>cie której zastosowano:</w:t>
            </w:r>
          </w:p>
          <w:p w:rsidR="00282635" w:rsidRDefault="00433C4F">
            <w:pPr>
              <w:jc w:val="left"/>
            </w:pPr>
            <w:r>
              <w:t>a) diagnostykę inwazyjną zawału serca (koronarografię) lub leczenie zachowawcze, lub</w:t>
            </w:r>
          </w:p>
          <w:p w:rsidR="00282635" w:rsidRDefault="00433C4F">
            <w:pPr>
              <w:jc w:val="left"/>
            </w:pPr>
            <w:r>
              <w:t>b) leczenie inwazyjne, obejmujące m.in. pełną rewaskularyzację naczyń wieńcowych lub zabieg kardiochirurgiczny (odpowiednio do stanu klinicznego pa</w:t>
            </w:r>
            <w:r>
              <w:t>cjenta):</w:t>
            </w:r>
          </w:p>
          <w:p w:rsidR="00282635" w:rsidRDefault="00433C4F">
            <w:pPr>
              <w:jc w:val="left"/>
            </w:pPr>
            <w:r>
              <w:t>- rewaskularyzację I–etapową - w trakcie hospitalizacji z powodu zawału serca,</w:t>
            </w:r>
          </w:p>
          <w:p w:rsidR="00282635" w:rsidRDefault="00433C4F">
            <w:pPr>
              <w:jc w:val="left"/>
            </w:pPr>
            <w:r>
              <w:t>- rewaskularyzację II–etapową, która może być realizowana przy pierwszej hospitalizacji z powodu zawału serca albo rozłożona na dwie hospitalizacje (pierwszą z powodu z</w:t>
            </w:r>
            <w:r>
              <w:t>awału serca oraz drugą hospitalizację planową);</w:t>
            </w:r>
          </w:p>
          <w:p w:rsidR="00282635" w:rsidRDefault="00433C4F">
            <w:pPr>
              <w:jc w:val="left"/>
            </w:pPr>
            <w:r>
              <w:t>2) elektroterapię, w tym:</w:t>
            </w:r>
          </w:p>
          <w:p w:rsidR="00282635" w:rsidRDefault="00433C4F">
            <w:pPr>
              <w:jc w:val="left"/>
            </w:pPr>
            <w:r>
              <w:t>a) wszczepienie/ wymiana rozrusznika jednojamowego,</w:t>
            </w:r>
          </w:p>
          <w:p w:rsidR="00282635" w:rsidRDefault="00433C4F">
            <w:pPr>
              <w:jc w:val="left"/>
            </w:pPr>
            <w:r>
              <w:t>b) wszczepienie/ wymiana rozrusznika dwujamowego,</w:t>
            </w:r>
          </w:p>
          <w:p w:rsidR="00282635" w:rsidRDefault="00433C4F">
            <w:pPr>
              <w:jc w:val="left"/>
            </w:pPr>
            <w:r>
              <w:t>c) wszczepienie/ wymiana układu z funkcją resynchronizującą serca (CRT),</w:t>
            </w:r>
          </w:p>
          <w:p w:rsidR="00282635" w:rsidRDefault="00433C4F">
            <w:pPr>
              <w:jc w:val="left"/>
            </w:pPr>
            <w:r>
              <w:t>d) wszc</w:t>
            </w:r>
            <w:r>
              <w:t>zepienie kardiowertera-defibrylatora (ICD),</w:t>
            </w:r>
          </w:p>
          <w:p w:rsidR="00282635" w:rsidRDefault="00433C4F">
            <w:pPr>
              <w:jc w:val="left"/>
            </w:pPr>
            <w:r>
              <w:t>e) wszczepienie kardiowertera-defibrylatora z funkcją resynchronizującą (CRT-D) albo</w:t>
            </w:r>
          </w:p>
          <w:p w:rsidR="00282635" w:rsidRDefault="00433C4F">
            <w:pPr>
              <w:jc w:val="left"/>
            </w:pPr>
            <w:r>
              <w:t>f) wszczepienie / wymiana całkowicie podskórnego kardiowertera-defibrylatora (S-ICD)</w:t>
            </w:r>
          </w:p>
          <w:p w:rsidR="00282635" w:rsidRDefault="00433C4F">
            <w:pPr>
              <w:jc w:val="left"/>
            </w:pPr>
            <w:r>
              <w:t xml:space="preserve">- po dokonaniu u pacjenta oceny frakcji wyrzutowej </w:t>
            </w:r>
          </w:p>
          <w:p w:rsidR="00282635" w:rsidRDefault="00433C4F">
            <w:pPr>
              <w:jc w:val="left"/>
            </w:pPr>
            <w:r>
              <w:t>3) ustalony w trakcie hospitalizacji przez lekarza kardiologa indywidualny plan leczenia pacjenta uwzględniający odpowiednią rehabilitację kardiologiczną i wizyty w poradni kardiologicznej;</w:t>
            </w:r>
          </w:p>
          <w:p w:rsidR="00282635" w:rsidRDefault="00433C4F">
            <w:pPr>
              <w:jc w:val="left"/>
            </w:pPr>
            <w:r>
              <w:t>4) Leczenie fa</w:t>
            </w:r>
            <w:r>
              <w:t>rmakologiczne: w przypadku spełnienia przez pacjenta kryteriów do objęcia leczeniem w ramach programu lekowego – możliwość finansowania świadczenia w ramach umowy PSZ w zakresie dotyczącym programów lekowych lub na podstawie odrębnej umowy w rodzaju leczen</w:t>
            </w:r>
            <w:r>
              <w:t>ie szpitalne w zakresie programy lekowe.</w:t>
            </w:r>
          </w:p>
          <w:p w:rsidR="00282635" w:rsidRDefault="00433C4F">
            <w:pPr>
              <w:jc w:val="left"/>
            </w:pPr>
            <w:r>
              <w:t>Plan leczenia pacjent należy załączyć do dokumentacji medycznej pacjenta;</w:t>
            </w:r>
          </w:p>
          <w:p w:rsidR="00282635" w:rsidRDefault="00433C4F">
            <w:pPr>
              <w:jc w:val="left"/>
            </w:pPr>
            <w:r>
              <w:rPr>
                <w:b/>
              </w:rPr>
              <w:t xml:space="preserve">REHABILITACJA </w:t>
            </w:r>
            <w:r>
              <w:t>obejmuje</w:t>
            </w:r>
            <w:r>
              <w:rPr>
                <w:b/>
              </w:rPr>
              <w:t xml:space="preserve">: </w:t>
            </w:r>
          </w:p>
          <w:p w:rsidR="00282635" w:rsidRDefault="00433C4F">
            <w:pPr>
              <w:jc w:val="left"/>
            </w:pPr>
            <w:r>
              <w:t>1) rehabilitację kardiologiczną lub hybrydową telerehabilitację kardiologiczną realizowaną w warunkach stacjonarnych</w:t>
            </w:r>
            <w:r>
              <w:t>; lub</w:t>
            </w:r>
          </w:p>
          <w:p w:rsidR="00282635" w:rsidRDefault="00433C4F">
            <w:pPr>
              <w:jc w:val="left"/>
            </w:pPr>
            <w:r>
              <w:t>2) rehabilitację kardiologiczną lub hybrydową telerehabilitację kardiologiczną realizowaną w warunkach ośrodka lub oddziału dziennego</w:t>
            </w:r>
          </w:p>
          <w:p w:rsidR="00282635" w:rsidRDefault="00433C4F">
            <w:pPr>
              <w:jc w:val="left"/>
            </w:pPr>
            <w:r>
              <w:t>-zgodnie z kryteriami kwalifikacji oraz warunkami wymaganymi do jej realizacji określonymi w załączniku nr 5 do rozp</w:t>
            </w:r>
            <w:r>
              <w:t>orządzenia rehabilitacyjnego.</w:t>
            </w:r>
          </w:p>
          <w:p w:rsidR="00282635" w:rsidRDefault="00433C4F">
            <w:pPr>
              <w:jc w:val="left"/>
            </w:pPr>
            <w:r>
              <w:rPr>
                <w:b/>
              </w:rPr>
              <w:t>MONITOROWANIE obejmuje:</w:t>
            </w:r>
          </w:p>
          <w:p w:rsidR="00282635" w:rsidRDefault="00433C4F">
            <w:pPr>
              <w:jc w:val="left"/>
            </w:pPr>
            <w:r>
              <w:t>1) wizytę koordynującą (kontrolną): wykonanie badań elektrokardiograficznych i badań  laboratoryjnych:  morfologia krwi, stężenie potasu we krwi, stężenie kreatyniny  we krwi, stężenie białka C-reaktywn</w:t>
            </w:r>
            <w:r>
              <w:t>ego (CRP), wystawienie skierowania na badanie lipidogramu, które powinno być wykonane w okresie pomiędzy 6 a 10 tygodniem od zmiany leczenia hipolemizującego, a także  edukację pacjenta przez  personel pielęgniarski;</w:t>
            </w:r>
          </w:p>
          <w:p w:rsidR="00282635" w:rsidRDefault="00433C4F">
            <w:pPr>
              <w:jc w:val="left"/>
            </w:pPr>
            <w:r>
              <w:t>2) specjalistyczną opiekę kardiologiczn</w:t>
            </w:r>
            <w:r>
              <w:t>ą w okresie 12 miesięcy od wystąpienia zawału serca zgodnie z indywidualnym planem leczenia [w tym porady obejmujące kwalifikację do implantacji całkowitego automatycznego sytemu do kardiowersji lub defibrylacji (system ICD), układu resynchronizującego ser</w:t>
            </w:r>
            <w:r>
              <w:t>ce z funkcją defibrylacji (system CRT-D) lub całkowicie podskórnego kardiowertera-defibrylatora (system S-ICD) oraz poradę monitorującą urządzenia wszczepialne]; liczba konsultacji i ich częstość powinna być ustalona w zależności od stanu klinicznego pacje</w:t>
            </w:r>
            <w:r>
              <w:t>nta;</w:t>
            </w:r>
          </w:p>
          <w:p w:rsidR="00282635" w:rsidRDefault="00433C4F">
            <w:pPr>
              <w:jc w:val="left"/>
            </w:pPr>
            <w:r>
              <w:t>3) poradę specjalistyczną kończącą opiekę w ramach KOS-zawał: wykonanie niezbędnych badań laboratoryjnych, w tym lipidogramu;</w:t>
            </w:r>
          </w:p>
          <w:p w:rsidR="00282635" w:rsidRDefault="00433C4F">
            <w:pPr>
              <w:jc w:val="left"/>
            </w:pPr>
            <w:r>
              <w:t>- w przypadku nieosiągnięcia celu terapeutycznego wizyta kontrolna powinna być sprawozdawana każdorazowo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2.3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Zakres dziedzin</w:t>
            </w:r>
            <w:r>
              <w:t xml:space="preserve"> medycyny uprawnionych do wykonania świadczenia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Zgodnie z załącznikiem nr 1 k do zarządzenia w sprawie warunków zawierania i realizacji umów w rodzaju leczenie szpitalne–świadczenia kompleksowe: kardiologia, kardiochirurgia, rehabilitacja medyczna.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2.4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Warunki i etapy finansowania świadczenia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jc w:val="left"/>
            </w:pPr>
            <w:r>
              <w:t>Finansowanie poszczególnych etapów kompleksowej opieki, realizowanych zgodnie z potrzebami klinicznymi pacjentów, obejmuje:</w:t>
            </w:r>
          </w:p>
          <w:p w:rsidR="00282635" w:rsidRDefault="00433C4F">
            <w:pPr>
              <w:jc w:val="left"/>
              <w:rPr>
                <w:color w:val="000000"/>
                <w:u w:color="000000"/>
              </w:rPr>
            </w:pPr>
            <w:r>
              <w:rPr>
                <w:u w:val="single"/>
              </w:rPr>
              <w:t>1) w zakresie leczenia:</w:t>
            </w:r>
          </w:p>
          <w:p w:rsidR="00282635" w:rsidRDefault="00433C4F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a) diagnostykę inwazyjną, leczenie zachowawcze lub leczenie inwazyj</w:t>
            </w:r>
            <w:r>
              <w:rPr>
                <w:color w:val="000000"/>
                <w:u w:color="000000"/>
              </w:rPr>
              <w:t>ne, obejmujące zgodnie ze stanem klinicznym pacjenta rewaskularyzację naczyń wieńcowych, lub pomostowanie aortalno-wieńcowe, realizowane w ramach hospitalizacji – rozliczane w ramach JGP z katalogu świadczeń kompleksowych,</w:t>
            </w:r>
          </w:p>
          <w:p w:rsidR="00282635" w:rsidRDefault="00433C4F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b) dodatkowe świadczenia rozlicza</w:t>
            </w:r>
            <w:r>
              <w:rPr>
                <w:color w:val="000000"/>
                <w:u w:color="000000"/>
              </w:rPr>
              <w:t>ne produktami jednostkowymi ujętymi w katalogu produktów do sumowania (zał. 1c i 1ts do zarządzenia w rodzaju leczenie szpitalne) – możliwe do sumowania z właściwą JGP z katalogu świadczeń kompleksowych,</w:t>
            </w:r>
          </w:p>
          <w:p w:rsidR="00282635" w:rsidRDefault="00433C4F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c) opracowanie indywidualnego planu kompleksowego le</w:t>
            </w:r>
            <w:r>
              <w:rPr>
                <w:color w:val="000000"/>
                <w:u w:color="000000"/>
              </w:rPr>
              <w:t>czenia po zawale serca – rozliczane produktem z katalogu świadczeń kompleksowych dedykowanym do sumowania z właściwą JGP z tego katalogu,</w:t>
            </w:r>
          </w:p>
          <w:p w:rsidR="00282635" w:rsidRDefault="00433C4F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d)elektroterapię*,</w:t>
            </w:r>
          </w:p>
          <w:p w:rsidR="00282635" w:rsidRDefault="00433C4F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-rozliczane w ramach właściwej JGP z katalogu świadczeń kompleksowych;</w:t>
            </w:r>
          </w:p>
          <w:p w:rsidR="00282635" w:rsidRDefault="00433C4F">
            <w:pPr>
              <w:jc w:val="left"/>
              <w:rPr>
                <w:color w:val="000000"/>
                <w:u w:color="000000"/>
              </w:rPr>
            </w:pPr>
            <w:r>
              <w:rPr>
                <w:i/>
                <w:color w:val="000000"/>
                <w:u w:color="000000"/>
              </w:rPr>
              <w:t>* W sytuacji implantacji u p</w:t>
            </w:r>
            <w:r>
              <w:rPr>
                <w:i/>
                <w:color w:val="000000"/>
                <w:u w:color="000000"/>
              </w:rPr>
              <w:t xml:space="preserve">acjenta właściwego sytemu ICD, CRT-D </w:t>
            </w:r>
            <w:r>
              <w:rPr>
                <w:i/>
                <w:color w:val="000000"/>
                <w:u w:color="000000"/>
              </w:rPr>
              <w:br/>
              <w:t>lub S-ICD podmiot koordynujący obowiązany jest do posiadania dokumentu (nośnika) z zarejestrowanymi parametrami frakcji wyrzutowej lewej komory serca.</w:t>
            </w:r>
          </w:p>
          <w:p w:rsidR="00282635" w:rsidRDefault="00433C4F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val="single" w:color="000000"/>
              </w:rPr>
              <w:t xml:space="preserve">2) w zakresie rehabilitacji: </w:t>
            </w:r>
          </w:p>
          <w:p w:rsidR="00282635" w:rsidRDefault="00433C4F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a) rehabilitację kardiologiczną stacj</w:t>
            </w:r>
            <w:r>
              <w:rPr>
                <w:color w:val="000000"/>
                <w:u w:color="000000"/>
              </w:rPr>
              <w:t>onarną – rozliczaną w ramach grupy RKZ z katalogu świadczeń kompleksowych,</w:t>
            </w:r>
          </w:p>
          <w:p w:rsidR="00282635" w:rsidRDefault="00433C4F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b)rehabilitację kardiologiczną w ośrodku oddziale dziennym i hybrydową telerehabilitację kardiologiczną realizowaną w miejscu pobytu pacjenta – rozliczaną osobodniami w ramach produ</w:t>
            </w:r>
            <w:r>
              <w:rPr>
                <w:color w:val="000000"/>
                <w:u w:color="000000"/>
              </w:rPr>
              <w:t>któw w katalogu świadczeń kompleksowych</w:t>
            </w:r>
          </w:p>
          <w:p w:rsidR="00282635" w:rsidRDefault="00282635">
            <w:pPr>
              <w:jc w:val="left"/>
              <w:rPr>
                <w:color w:val="000000"/>
                <w:u w:color="000000"/>
              </w:rPr>
            </w:pPr>
          </w:p>
          <w:p w:rsidR="00282635" w:rsidRDefault="00433C4F">
            <w:pPr>
              <w:spacing w:after="120"/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val="single" w:color="000000"/>
              </w:rPr>
              <w:t xml:space="preserve">3) w zakresie monitorowania: </w:t>
            </w:r>
          </w:p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1)wizytę koordynującą (kontrolną) - rozliczaną produktem z katalogu świadczeń kompleksowych;</w:t>
            </w:r>
          </w:p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2)kardiologiczną opiekę specjalistyczną w okresie 12 miesięcy od wystąpienia zawału serca, </w:t>
            </w:r>
            <w:r>
              <w:rPr>
                <w:color w:val="000000"/>
                <w:u w:color="000000"/>
              </w:rPr>
              <w:t>obejmującą:</w:t>
            </w:r>
          </w:p>
          <w:p w:rsidR="00282635" w:rsidRDefault="00433C4F">
            <w:pPr>
              <w:spacing w:after="60"/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a)realizację co najmniej 3 porad u pacjenta w okresie objęcia KOS-zawał – rozliczanych ryczałtem po ich zrealizowaniu w ramach produktu w katalogu świadczeń kompleksowych,</w:t>
            </w:r>
          </w:p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b)poradę specjalistyczną wraz z przeprowadzeniem bilansu opieki u pacjen</w:t>
            </w:r>
            <w:r>
              <w:rPr>
                <w:color w:val="000000"/>
                <w:u w:color="000000"/>
              </w:rPr>
              <w:t>ta kończącego opiekę w ramach KOS-zawał (badania i ocena stanu klinicznego) – rozliczaną w ramach produktu rozliczeniowego: „</w:t>
            </w:r>
            <w:r>
              <w:rPr>
                <w:i/>
                <w:color w:val="000000"/>
                <w:u w:color="000000"/>
              </w:rPr>
              <w:t>Specjalistyczna opieka kardiologiczna - bilans opieki</w:t>
            </w:r>
            <w:r>
              <w:rPr>
                <w:color w:val="000000"/>
                <w:u w:color="000000"/>
              </w:rPr>
              <w:t>” z katalogu świadczeń kompleksowych.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95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Dane do sprawozdawczości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282635">
            <w:pPr>
              <w:spacing w:after="20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282635">
            <w:pPr>
              <w:spacing w:after="200"/>
              <w:jc w:val="left"/>
              <w:rPr>
                <w:color w:val="000000"/>
                <w:u w:color="000000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t xml:space="preserve">Zgodnie z systemem informatycznym udostępnionym przez Fundusz. 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95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Istniejące wytyczne postępowania medycznego</w:t>
            </w:r>
          </w:p>
        </w:tc>
      </w:tr>
      <w:tr w:rsidR="00282635">
        <w:trPr>
          <w:trHeight w:val="855"/>
        </w:trPr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282635">
            <w:pPr>
              <w:spacing w:after="20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282635">
            <w:pPr>
              <w:spacing w:after="200"/>
              <w:jc w:val="left"/>
              <w:rPr>
                <w:color w:val="000000"/>
                <w:u w:color="000000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t>Zgodnie z aktualnymi wytycznymi Europejskiego Towarzystwa Kardiologicznego (ESC) dotyczącymi postępowania z chorymi z zawałem serca.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5.</w:t>
            </w:r>
          </w:p>
        </w:tc>
        <w:tc>
          <w:tcPr>
            <w:tcW w:w="95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Parametry jakościowe do oceny udzielania świadczeń</w:t>
            </w:r>
          </w:p>
        </w:tc>
      </w:tr>
      <w:tr w:rsidR="00282635"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282635">
            <w:pPr>
              <w:spacing w:after="20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282635">
            <w:pPr>
              <w:spacing w:after="200"/>
              <w:jc w:val="left"/>
              <w:rPr>
                <w:color w:val="000000"/>
                <w:u w:color="000000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2635" w:rsidRDefault="00433C4F">
            <w:pPr>
              <w:spacing w:after="200"/>
              <w:jc w:val="left"/>
              <w:rPr>
                <w:color w:val="000000"/>
                <w:u w:color="000000"/>
              </w:rPr>
            </w:pPr>
            <w:r>
              <w:t xml:space="preserve">Monitorowanie i ewaluacja programu opieki kompleksowej nad pacjentem po zawale serca będzie obejmowała zarówno wskaźniki dotyczące jakości opieki nad pacjentem na poziomie ośrodka realizującego program </w:t>
            </w:r>
            <w:r>
              <w:t>opieki kompleksowej, jak i wskaźniki dotyczące efektów leczenia.</w:t>
            </w:r>
          </w:p>
          <w:p w:rsidR="00282635" w:rsidRDefault="00433C4F">
            <w:pPr>
              <w:jc w:val="left"/>
            </w:pPr>
            <w:r>
              <w:t>Świadczeniodawca realizujący KOS - zawał mierzy i ocenia wskaźniki określone w załączniku nr 4 do rozporządzenia szpitalnego lp. 36 część „Pozostałe wymagania” kolumna nr 4 ust. 3.</w:t>
            </w:r>
          </w:p>
          <w:p w:rsidR="00282635" w:rsidRDefault="00433C4F">
            <w:pPr>
              <w:jc w:val="left"/>
            </w:pPr>
            <w:r>
              <w:t xml:space="preserve">Parametry stosowane do oceny efektów opieki kompleksowej u pacjentów po zawale serca po 12 miesiącach jej realizacji - na podstawie danych sprawozdawczych przez świadczeniodawców do sytemu informatycznego NFZ: </w:t>
            </w:r>
          </w:p>
          <w:p w:rsidR="00282635" w:rsidRDefault="00433C4F">
            <w:pPr>
              <w:jc w:val="left"/>
            </w:pPr>
            <w:r>
              <w:t>1) procentowy udział pacjentów po zawale mięś</w:t>
            </w:r>
            <w:r>
              <w:t>nia sercowego objętych KOS-zawał;</w:t>
            </w:r>
          </w:p>
          <w:p w:rsidR="00282635" w:rsidRDefault="00433C4F">
            <w:pPr>
              <w:jc w:val="left"/>
            </w:pPr>
            <w:r>
              <w:t>2) odsetek pacjentów, u których zrealizowany został cały zindywidualizowany schemat opieki;</w:t>
            </w:r>
          </w:p>
          <w:p w:rsidR="00282635" w:rsidRDefault="00433C4F">
            <w:pPr>
              <w:jc w:val="left"/>
            </w:pPr>
            <w:r>
              <w:t>3) odsetek rehospitalizacji z przyczyn sercowo – naczyniowych;</w:t>
            </w:r>
          </w:p>
          <w:p w:rsidR="00282635" w:rsidRDefault="00433C4F">
            <w:pPr>
              <w:jc w:val="left"/>
            </w:pPr>
            <w:r>
              <w:t>4) odsetek pacjentów, u których wykonano zabieg angioplastyki wieńc</w:t>
            </w:r>
            <w:r>
              <w:t>owej w ramach II etapu rewaskularyzacji;</w:t>
            </w:r>
          </w:p>
          <w:p w:rsidR="00282635" w:rsidRDefault="00433C4F">
            <w:pPr>
              <w:jc w:val="left"/>
            </w:pPr>
            <w:r>
              <w:t>5) odsetek pacjentów, którym wszczepiono kardiowerter/defibrylator ICD;</w:t>
            </w:r>
          </w:p>
          <w:p w:rsidR="00282635" w:rsidRDefault="00433C4F">
            <w:pPr>
              <w:jc w:val="left"/>
            </w:pPr>
            <w:r>
              <w:t>6) odsetek pacjentów, którym wszczepiono kardiowerter/defibrylator CRT-D;</w:t>
            </w:r>
          </w:p>
          <w:p w:rsidR="00282635" w:rsidRDefault="00433C4F">
            <w:pPr>
              <w:jc w:val="left"/>
            </w:pPr>
            <w:r>
              <w:t>7) odsetek pacjentów, którym wszczepiono całkowicie podskórny kardiow</w:t>
            </w:r>
            <w:r>
              <w:t>erter/defibrylator S-ICD;</w:t>
            </w:r>
          </w:p>
          <w:p w:rsidR="00282635" w:rsidRDefault="00433C4F">
            <w:pPr>
              <w:jc w:val="left"/>
            </w:pPr>
            <w:r>
              <w:t>8) procentowy udział wystąpienia zgonu po zawale z powodu epizodu sercowo- naczyniowego w okresie:</w:t>
            </w:r>
          </w:p>
          <w:p w:rsidR="00282635" w:rsidRDefault="00433C4F">
            <w:pPr>
              <w:jc w:val="left"/>
            </w:pPr>
            <w:r>
              <w:t>a) 6 miesięcy od dnia wystąpienia zawału serca,</w:t>
            </w:r>
          </w:p>
          <w:p w:rsidR="00282635" w:rsidRDefault="00433C4F">
            <w:pPr>
              <w:jc w:val="left"/>
            </w:pPr>
            <w:r>
              <w:t xml:space="preserve">b) 12 miesięcy od wystąpienia zawału serca. </w:t>
            </w:r>
          </w:p>
          <w:p w:rsidR="00282635" w:rsidRDefault="00433C4F">
            <w:pPr>
              <w:jc w:val="left"/>
            </w:pPr>
            <w:r>
              <w:t>9) odsetek pacjentów, u których w mome</w:t>
            </w:r>
            <w:r>
              <w:t>ncie zakończenia programu wykazano obniżenie poziomu cholesterolu LDL ≤ 55 mg/dl.</w:t>
            </w:r>
          </w:p>
        </w:tc>
      </w:tr>
    </w:tbl>
    <w:p w:rsidR="00282635" w:rsidRDefault="00282635"/>
    <w:sectPr w:rsidR="0028263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635"/>
    <w:rsid w:val="00282635"/>
    <w:rsid w:val="0043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CF1BBCB-A9AB-41C8-AF83-1B24D4F9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2265</Words>
  <Characters>13594</Characters>
  <Application>Microsoft Office Word</Application>
  <DocSecurity>4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zawierania i realizacji umów w rodzaju leczenie szpitalne – świadczenia kompleksowe</dc:subject>
  <dc:creator>renata.jamroz</dc:creator>
  <cp:lastModifiedBy>Skierka Monika</cp:lastModifiedBy>
  <cp:revision>2</cp:revision>
  <dcterms:created xsi:type="dcterms:W3CDTF">2023-09-12T06:19:00Z</dcterms:created>
  <dcterms:modified xsi:type="dcterms:W3CDTF">2023-09-12T06:19:00Z</dcterms:modified>
  <cp:category>Akt prawny</cp:category>
</cp:coreProperties>
</file>