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A5216F8" Type="http://schemas.openxmlformats.org/officeDocument/2006/relationships/officeDocument" Target="/word/document.xml" /><Relationship Id="coreRA5216F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1j do zarządzenia Nr 10/2024/DGL</w:t>
        <w:br w:type="textWrapping"/>
        <w:t>Prezesa Narodowego Funduszu Zdrowia</w:t>
        <w:br w:type="textWrapping"/>
        <w:t>z dnia 26 stycznia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świadczeń wspomagających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  <w:trHeight w:hRule="atLeast" w:val="840"/>
        </w:trPr>
        <w:tc>
          <w:tcPr>
            <w:tcW w:w="525" w:type="dxa"/>
            <w:vMerge w:val="restar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6555" w:type="dxa"/>
            <w:gridSpan w:val="3"/>
            <w:tcBorders>
              <w:top w:val="single" w:sz="4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sz w:val="18"/>
              </w:rPr>
              <w:t>świadczenia</w:t>
            </w:r>
          </w:p>
        </w:tc>
        <w:tc>
          <w:tcPr>
            <w:tcW w:w="9120" w:type="dxa"/>
            <w:gridSpan w:val="15"/>
            <w:tcBorders>
              <w:top w:val="single" w:sz="4" w:space="0" w:shadow="0" w:frame="0" w:color="000000"/>
              <w:left w:val="single" w:sz="2" w:space="0" w:shadow="0" w:frame="0" w:color="000000"/>
              <w:bottom w:val="none" w:sz="0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specjalności medyczne</w:t>
              <w:br w:type="textWrapping"/>
              <w:t>(specjalności zgodnie z rozporządzeniem Ministra Zdrowia z dnia 17 maja 2012 r.)</w:t>
            </w:r>
          </w:p>
        </w:tc>
        <w:tc>
          <w:tcPr>
            <w:tcW w:w="1710" w:type="dxa"/>
            <w:gridSpan w:val="3"/>
            <w:tcBorders>
              <w:top w:val="single" w:sz="4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warunki udzielania świadczeń</w:t>
            </w:r>
          </w:p>
        </w:tc>
        <w:tc>
          <w:tcPr>
            <w:tcW w:w="4080" w:type="dxa"/>
            <w:vMerge w:val="restart"/>
            <w:tcBorders>
              <w:top w:val="single" w:sz="4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Uwagi</w:t>
            </w:r>
          </w:p>
        </w:tc>
      </w:tr>
      <w:tr>
        <w:trPr>
          <w:wBefore w:w="0" w:type="dxa"/>
          <w:trHeight w:hRule="atLeast" w:val="1665"/>
        </w:trPr>
        <w:tc>
          <w:tcPr>
            <w:tcW w:w="525" w:type="dxa"/>
            <w:vMerge w:val="continue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1845" w:type="dxa"/>
            <w:tcBorders>
              <w:top w:val="single" w:sz="2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kod</w:t>
            </w:r>
          </w:p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świadczenia</w:t>
            </w:r>
          </w:p>
        </w:tc>
        <w:tc>
          <w:tcPr>
            <w:tcW w:w="3420" w:type="dxa"/>
            <w:tcBorders>
              <w:top w:val="single" w:sz="2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nazwa świadczenia</w:t>
            </w:r>
          </w:p>
        </w:tc>
        <w:tc>
          <w:tcPr>
            <w:tcW w:w="1290" w:type="dxa"/>
            <w:tcBorders>
              <w:top w:val="single" w:sz="2" w:space="0" w:shadow="0" w:frame="0" w:color="000000"/>
              <w:left w:val="single" w:sz="2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wartość punktowa</w:t>
            </w:r>
          </w:p>
        </w:tc>
        <w:tc>
          <w:tcPr>
            <w:tcW w:w="57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40 chirurgia onkologiczna</w:t>
            </w:r>
          </w:p>
        </w:tc>
        <w:tc>
          <w:tcPr>
            <w:tcW w:w="57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05 chirurgia ogólna</w:t>
            </w:r>
          </w:p>
        </w:tc>
        <w:tc>
          <w:tcPr>
            <w:tcW w:w="57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42 choroby płuc</w:t>
            </w:r>
          </w:p>
        </w:tc>
        <w:tc>
          <w:tcPr>
            <w:tcW w:w="70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07 choroby wewnętrzne</w:t>
            </w:r>
          </w:p>
        </w:tc>
        <w:tc>
          <w:tcPr>
            <w:tcW w:w="72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44 endokrynologia</w:t>
            </w:r>
          </w:p>
        </w:tc>
        <w:tc>
          <w:tcPr>
            <w:tcW w:w="57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 xml:space="preserve"> 47 gastroenterologia</w:t>
            </w:r>
          </w:p>
        </w:tc>
        <w:tc>
          <w:tcPr>
            <w:tcW w:w="57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 50 hematologia</w:t>
            </w:r>
          </w:p>
        </w:tc>
        <w:tc>
          <w:tcPr>
            <w:tcW w:w="70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60 onkologia i hematologia dziecięca</w:t>
            </w:r>
          </w:p>
        </w:tc>
        <w:tc>
          <w:tcPr>
            <w:tcW w:w="57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24 onkologia kliniczna</w:t>
            </w:r>
          </w:p>
        </w:tc>
        <w:tc>
          <w:tcPr>
            <w:tcW w:w="61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26 otorynolaryngologia</w:t>
            </w:r>
          </w:p>
        </w:tc>
        <w:tc>
          <w:tcPr>
            <w:tcW w:w="52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28 pediatria</w:t>
            </w:r>
          </w:p>
        </w:tc>
        <w:tc>
          <w:tcPr>
            <w:tcW w:w="57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34 urologia</w:t>
            </w:r>
          </w:p>
        </w:tc>
        <w:tc>
          <w:tcPr>
            <w:tcW w:w="57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49 ginekologia onkologiczna</w:t>
            </w:r>
          </w:p>
        </w:tc>
        <w:tc>
          <w:tcPr>
            <w:tcW w:w="72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32 radioterapia onkologiczna</w:t>
            </w:r>
          </w:p>
        </w:tc>
        <w:tc>
          <w:tcPr>
            <w:tcW w:w="57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71 transplantologia kliniczna</w:t>
            </w:r>
          </w:p>
        </w:tc>
        <w:tc>
          <w:tcPr>
            <w:tcW w:w="57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tryb ambulatoryjny</w:t>
            </w:r>
          </w:p>
        </w:tc>
        <w:tc>
          <w:tcPr>
            <w:tcW w:w="57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tryb jednego dnia</w:t>
            </w:r>
          </w:p>
        </w:tc>
        <w:tc>
          <w:tcPr>
            <w:tcW w:w="57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sz w:val="16"/>
                <w:u w:val="none" w:color="000000"/>
              </w:rPr>
            </w:pPr>
            <w:r>
              <w:rPr>
                <w:sz w:val="16"/>
              </w:rPr>
              <w:t>hospitalizacja</w:t>
            </w:r>
          </w:p>
        </w:tc>
        <w:tc>
          <w:tcPr>
            <w:tcW w:w="4080" w:type="dxa"/>
            <w:vMerge w:val="continue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bottom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</w:tr>
      <w:tr>
        <w:trPr>
          <w:wBefore w:w="0" w:type="dxa"/>
          <w:trHeight w:hRule="atLeast" w:val="1392"/>
        </w:trPr>
        <w:tc>
          <w:tcPr>
            <w:tcW w:w="52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84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b w:val="1"/>
                <w:sz w:val="18"/>
              </w:rPr>
              <w:t>5.08.05.0000008</w:t>
            </w:r>
          </w:p>
        </w:tc>
        <w:tc>
          <w:tcPr>
            <w:tcW w:w="342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okresowa ocena skuteczności chemioterapii</w:t>
            </w:r>
          </w:p>
        </w:tc>
        <w:tc>
          <w:tcPr>
            <w:tcW w:w="12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270,40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72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1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408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1) zgodnie z  załącznikiem nr 3 do zarządzenia;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2) nie częściej niż raz w miesiącu i nie rzadziej niż raz na trzy miesiące;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3) nie można łączyć ze świadczeniami z zakresu badania genetyczne z katalogu zakresów świadczeń zdrowotnych kontraktowanych odrębnie.</w:t>
            </w:r>
          </w:p>
        </w:tc>
      </w:tr>
      <w:tr>
        <w:trPr>
          <w:wBefore w:w="0" w:type="dxa"/>
          <w:trHeight w:hRule="atLeast" w:val="1680"/>
        </w:trPr>
        <w:tc>
          <w:tcPr>
            <w:tcW w:w="52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84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b w:val="1"/>
                <w:sz w:val="18"/>
              </w:rPr>
              <w:t>5.08.05.0000011</w:t>
            </w:r>
          </w:p>
        </w:tc>
        <w:tc>
          <w:tcPr>
            <w:tcW w:w="342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leczenie działań niepożądanych 1. stopnia</w:t>
            </w:r>
          </w:p>
        </w:tc>
        <w:tc>
          <w:tcPr>
            <w:tcW w:w="129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1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408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1) można łączyć ze świadczeniami z załącznika nr 1e;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2) rozliczanie świadczenia jest dopuszczalne wyłącznie w dniach, w których wystąpiły zdarzenia kliniczne kwalifikowane do działań niepożądanych 1 stopnia;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3) sprawozdawanie zgodnie z wytycznymi zawartymi w aktualnej wersji powszechnych kryteriów terminologicznych dla działań niepożądanych.</w:t>
            </w:r>
          </w:p>
        </w:tc>
      </w:tr>
      <w:tr>
        <w:trPr>
          <w:wBefore w:w="0" w:type="dxa"/>
          <w:trHeight w:hRule="atLeast" w:val="1680"/>
        </w:trPr>
        <w:tc>
          <w:tcPr>
            <w:tcW w:w="52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84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b w:val="1"/>
                <w:sz w:val="18"/>
              </w:rPr>
              <w:t>5.08.05.0000012</w:t>
            </w:r>
          </w:p>
        </w:tc>
        <w:tc>
          <w:tcPr>
            <w:tcW w:w="342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leczenie działań niepożądanych 2. stopnia</w:t>
            </w:r>
          </w:p>
        </w:tc>
        <w:tc>
          <w:tcPr>
            <w:tcW w:w="129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1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408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1) można łączyć ze świadczeniami z załącznika nr 1e;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2) rozliczanie świadczenia jest dopuszczalne wyłącznie w dniach, w których wystąpiły zdarzenia kliniczne kwalifikowane do działań niepożądanych 2 stopnia;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3) sprawozdawanie zgodnie z wytycznymi zawartymi w aktualnej wersji powszechnych kryteriów terminologicznych dla działań niepożądanych.</w:t>
            </w:r>
          </w:p>
        </w:tc>
      </w:tr>
      <w:tr>
        <w:trPr>
          <w:wBefore w:w="0" w:type="dxa"/>
          <w:trHeight w:hRule="atLeast" w:val="2610"/>
        </w:trPr>
        <w:tc>
          <w:tcPr>
            <w:tcW w:w="52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84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b w:val="1"/>
                <w:sz w:val="18"/>
              </w:rPr>
              <w:t>5.08.05.0000013</w:t>
            </w:r>
          </w:p>
        </w:tc>
        <w:tc>
          <w:tcPr>
            <w:tcW w:w="342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leczenie działań niepożądanych 3. stopnia</w:t>
            </w:r>
          </w:p>
        </w:tc>
        <w:tc>
          <w:tcPr>
            <w:tcW w:w="129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54,08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1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08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 xml:space="preserve">1) można łączyć ze świadczeniami z załącznika nr 1e z wyjątkiem świadczeń: 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 xml:space="preserve">a) porada ambulatoryjna dotycząca chemioterapii, 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 xml:space="preserve">b) hospitalizacja jednego dnia 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c) zakwaterowanie realizowane na zasadach określonych w art. 33b ustawy o świadczeniach;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2) rozliczanie świadczenia jest dopuszczalne wyłącznie w dniach, w których wystąpiły zdarzenia kliniczne kwalifikowane do działań niepożądanych 3 stopnia;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3) sprawozdawanie zgodnie z wytycznymi zawartymi w aktualnej wersji powszechnych kryteriów terminologicznych dla działań niepożądanych.</w:t>
            </w:r>
          </w:p>
        </w:tc>
      </w:tr>
      <w:tr>
        <w:trPr>
          <w:wBefore w:w="0" w:type="dxa"/>
          <w:trHeight w:hRule="atLeast" w:val="2595"/>
        </w:trPr>
        <w:tc>
          <w:tcPr>
            <w:tcW w:w="52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84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b w:val="1"/>
                <w:sz w:val="18"/>
              </w:rPr>
              <w:t>5.08.05.0000014</w:t>
            </w:r>
          </w:p>
        </w:tc>
        <w:tc>
          <w:tcPr>
            <w:tcW w:w="342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leczenie działań niepożądanych 4. stopnia</w:t>
            </w:r>
          </w:p>
        </w:tc>
        <w:tc>
          <w:tcPr>
            <w:tcW w:w="129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54,08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1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08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 xml:space="preserve">1) można łączyć ze świadczeniami z załącznika nr 1e z wyjątkiem świadczeń: 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 xml:space="preserve">a) porada ambulatoryjna dotycząca chemioterapii, 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 xml:space="preserve">b) hospitalizacja jednego dnia 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c) zakwaterowanie realizowane na zasadach określonych w art. 33b ustawy o świadczeniach;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2) rozliczanie świadczenia jest dopuszczalne wyłącznie w dniach, w których wystąpiły zdarzenia kliniczne kwalifikowane do działań niepożądanych 4 stopnia;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3) sprawozdawanie zgodnie z wytycznymi zawartymi w aktualnej wersji powszechnych kryteriów terminologicznych dla działań niepożądanych.</w:t>
            </w:r>
          </w:p>
        </w:tc>
      </w:tr>
      <w:tr>
        <w:trPr>
          <w:wBefore w:w="0" w:type="dxa"/>
          <w:trHeight w:hRule="atLeast" w:val="2625"/>
        </w:trPr>
        <w:tc>
          <w:tcPr>
            <w:tcW w:w="52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84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b w:val="1"/>
                <w:sz w:val="18"/>
              </w:rPr>
              <w:t>5.08.05.0000046</w:t>
            </w:r>
          </w:p>
        </w:tc>
        <w:tc>
          <w:tcPr>
            <w:tcW w:w="342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monitorowanie aktywności asparaginazy u osób z chorobami limfoproliferacyjnymi w przypadku pacjentów z grupy wysokiego ryzyka </w:t>
            </w:r>
          </w:p>
        </w:tc>
        <w:tc>
          <w:tcPr>
            <w:tcW w:w="129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780,00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70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72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61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72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08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 xml:space="preserve">1) warunkiem jest zastosowanie substancji czynnych o kodach 5.08.10.0000051 (katalog 1n),  5.08.05.0000169 (katalog 1t); 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2) można łączyć ze świadczeniami z załącznika nr 1e;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3) można łączyć z katalogiem leków określonym w załączniku nr 1n;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4) można łączyć z katalogiem substancji czynnych określonym w załączniku nr 1t;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5) pacjenci z chorobami limfoproliferacyjnymi w grupie wysokiego ryzyka zgodnie z kryteriami aktualnego protokołu terapeutycznego;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6) można rozliczyć 1 raz w trakcie leczenia danego pacjenta w danej linii terapii.</w:t>
            </w:r>
          </w:p>
        </w:tc>
      </w:tr>
      <w:tr>
        <w:trPr>
          <w:wBefore w:w="0" w:type="dxa"/>
          <w:trHeight w:hRule="atLeast" w:val="1665"/>
        </w:trPr>
        <w:tc>
          <w:tcPr>
            <w:tcW w:w="52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84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b w:val="1"/>
                <w:sz w:val="18"/>
              </w:rPr>
              <w:t>5.08.05.0000047</w:t>
            </w:r>
          </w:p>
        </w:tc>
        <w:tc>
          <w:tcPr>
            <w:tcW w:w="342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monitorowanie aktywności asparaginazy  u osób z chorobami limfoproliferacyjnymi w przypadku pozostałych pacjentów</w:t>
            </w:r>
          </w:p>
        </w:tc>
        <w:tc>
          <w:tcPr>
            <w:tcW w:w="129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360,00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70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72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61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72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08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1) warunkiem jest zastosowanie substancji czynnych o kodach 5.08.10.0000051 (katalog 1n);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2) można łączyć ze świadczeniami z załącznika nr 1e;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3) można łączyć z katalogiem leków określonym w załączniku nr 1n;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4) można rozliczyć 1 raz w trakcie leczenia danego pacjenta w danej linii terapii.</w:t>
            </w:r>
          </w:p>
        </w:tc>
      </w:tr>
      <w:tr>
        <w:trPr>
          <w:wBefore w:w="0" w:type="dxa"/>
          <w:trHeight w:hRule="atLeast" w:val="3210"/>
        </w:trPr>
        <w:tc>
          <w:tcPr>
            <w:tcW w:w="525" w:type="dxa"/>
            <w:tcBorders>
              <w:top w:val="none" w:sz="0" w:space="0" w:shadow="0" w:frame="0" w:color="000000"/>
              <w:left w:val="single" w:sz="2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84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b w:val="1"/>
                <w:sz w:val="18"/>
              </w:rPr>
              <w:t>5.08.05.0000048</w:t>
            </w:r>
          </w:p>
        </w:tc>
        <w:tc>
          <w:tcPr>
            <w:tcW w:w="34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1290" w:type="dxa"/>
            <w:tcBorders>
              <w:top w:val="none" w:sz="0" w:space="0" w:shadow="0" w:frame="0" w:color="000000"/>
              <w:left w:val="single" w:sz="2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15*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1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single" w:sz="2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08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 xml:space="preserve">1) za osobodzień, 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 xml:space="preserve">2) do rozliczenia niezbędne oświadczenie przedstawiciela ustawowego albo opiekuna faktycznego pacjenta małoletniego lub posiadającego orzeczenie o znacznym stopniu niepełnosprawności, 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3) bezwzględne przekazanie kodu uprawnienia w przypadku pacjenta  posiadającego orzeczenie o znacznym stopniu niepełnosprawności, </w:t>
            </w:r>
          </w:p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color w:val="000000"/>
                <w:sz w:val="18"/>
                <w:u w:val="none" w:color="000000"/>
              </w:rPr>
              <w:t>4) dedykowany wyłącznie w przypadku sprawowania dodatkowej opieki pielęgnacyjnej, o której mowa w art. 34 ust. 3 ustawy z dnia 6 listopada 2008 r. o prawach pacjenta i Rzeczniku Praw Pacjenta (Dz. U. z 2020 r. poz. 849, z późn. zm.)</w:t>
            </w:r>
          </w:p>
        </w:tc>
      </w:tr>
      <w:tr>
        <w:trPr>
          <w:wBefore w:w="0" w:type="dxa"/>
          <w:trHeight w:hRule="atLeast" w:val="930"/>
        </w:trPr>
        <w:tc>
          <w:tcPr>
            <w:tcW w:w="525" w:type="dxa"/>
            <w:tcBorders>
              <w:top w:val="single" w:sz="2" w:space="0" w:shadow="0" w:frame="0" w:color="000000"/>
              <w:left w:val="single" w:sz="2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84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b w:val="1"/>
                <w:sz w:val="18"/>
              </w:rPr>
              <w:t>5.08.05.0000210</w:t>
            </w:r>
          </w:p>
        </w:tc>
        <w:tc>
          <w:tcPr>
            <w:tcW w:w="342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usunięcie infuzora</w:t>
            </w:r>
          </w:p>
        </w:tc>
        <w:tc>
          <w:tcPr>
            <w:tcW w:w="129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57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1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2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408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warunkiem jest rozliczenie świadczenia o kodzie 5.08.05.0000172 (katalog 1e);</w:t>
            </w:r>
          </w:p>
        </w:tc>
      </w:tr>
      <w:tr>
        <w:trPr>
          <w:wBefore w:w="0" w:type="dxa"/>
          <w:trHeight w:hRule="atLeast" w:val="915"/>
        </w:trPr>
        <w:tc>
          <w:tcPr>
            <w:tcW w:w="52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84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b w:val="1"/>
                <w:sz w:val="18"/>
              </w:rPr>
              <w:t>5.08.05.0000211</w:t>
            </w:r>
          </w:p>
        </w:tc>
        <w:tc>
          <w:tcPr>
            <w:tcW w:w="342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wizyta kontrolna</w:t>
            </w:r>
          </w:p>
        </w:tc>
        <w:tc>
          <w:tcPr>
            <w:tcW w:w="129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0,00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0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1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72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57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sz w:val="18"/>
                <w:u w:val="none" w:color="000000"/>
              </w:rPr>
            </w:pPr>
          </w:p>
        </w:tc>
        <w:tc>
          <w:tcPr>
            <w:tcW w:w="408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</w:tcPr>
          <w:p>
            <w:pPr>
              <w:jc w:val="left"/>
              <w:rPr>
                <w:color w:val="000000"/>
                <w:sz w:val="18"/>
                <w:u w:val="none" w:color="000000"/>
              </w:rPr>
            </w:pPr>
            <w:r>
              <w:rPr>
                <w:sz w:val="18"/>
              </w:rPr>
              <w:t>warunkiem jest rozliczenie świadczenia o kodzie 5.08.05.0000173 (katalog 1e);</w:t>
            </w:r>
          </w:p>
        </w:tc>
      </w:tr>
      <w:tr>
        <w:trPr>
          <w:wBefore w:w="0" w:type="dxa"/>
          <w:trHeight w:hRule="atLeast" w:val="675"/>
        </w:trPr>
        <w:tc>
          <w:tcPr>
            <w:tcW w:w="21990" w:type="dxa"/>
            <w:gridSpan w:val="23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*</w:t>
            </w:r>
            <w:r>
              <w:rPr>
                <w:b w:val="1"/>
                <w:sz w:val="18"/>
              </w:rPr>
              <w:t xml:space="preserve"> taryfa ustalona w obwieszczeniu Prezesa Agencji Oceny Technologii Medycznej i Taryfikacji  z dnia 30 września 2019 r.</w:t>
            </w:r>
          </w:p>
        </w:tc>
      </w:tr>
    </w:tbl>
    <w:p/>
    <w:sectPr>
      <w:endnotePr>
        <w:numFmt w:val="decimal"/>
      </w:endnotePr>
      <w:type w:val="nextPage"/>
      <w:pgSz w:w="23814" w:h="16839" w:code="8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000000"/>
        <w:sz w:val="22"/>
        <w:u w:val="none"/>
        <w:shd w:val="clear" w:color="auto" w:fill="FFFFFF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>
      <w:rFonts w:ascii="Times New Roman" w:hAnsi="Times New Roman"/>
      <w:b w:val="0"/>
      <w:color w:val="000000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Piątkowska Beata</dc:creator>
  <dcterms:created xsi:type="dcterms:W3CDTF">2024-01-03T11:05:28Z</dcterms:created>
  <cp:lastModifiedBy>Kociubowska Ewa</cp:lastModifiedBy>
  <dcterms:modified xsi:type="dcterms:W3CDTF">2024-01-26T11:54:02Z</dcterms:modified>
  <cp:revision>39</cp:revision>
</cp:coreProperties>
</file>