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3644667" Type="http://schemas.openxmlformats.org/officeDocument/2006/relationships/officeDocument" Target="/word/document.xml" /><Relationship Id="coreR2364466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7 do zarządzenia Nr 10/2024/DGL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chemioterapii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wAfter w:w="0" w:type="dxa"/>
          <w:trHeight w:hRule="atLeast" w:val="315"/>
        </w:trPr>
        <w:tc>
          <w:tcPr>
            <w:tcW w:w="5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3545" w:type="dxa"/>
            <w:gridSpan w:val="2"/>
            <w:tcBorders>
              <w:top w:val="single" w:sz="4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3420" w:type="dxa"/>
            <w:gridSpan w:val="2"/>
            <w:tcBorders>
              <w:top w:val="single" w:sz="4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2925" w:type="dxa"/>
            <w:gridSpan w:val="2"/>
            <w:tcBorders>
              <w:top w:val="single" w:sz="4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48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3105" w:type="dxa"/>
            <w:tcBorders>
              <w:top w:val="single" w:sz="4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6</w:t>
            </w:r>
          </w:p>
        </w:tc>
      </w:tr>
      <w:tr>
        <w:trPr>
          <w:wBefore w:w="0" w:type="dxa"/>
          <w:wAfter w:w="0" w:type="dxa"/>
          <w:trHeight w:hRule="atLeast" w:val="825"/>
        </w:trPr>
        <w:tc>
          <w:tcPr>
            <w:tcW w:w="534" w:type="dxa"/>
            <w:vMerge w:val="restart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35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świadczenie z katalogu świadczeń podstawowych, w odniesieniu do którego współczynnik korygujący może zostać zastosowany</w:t>
            </w:r>
          </w:p>
        </w:tc>
        <w:tc>
          <w:tcPr>
            <w:tcW w:w="3420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substancja czynna</w:t>
            </w:r>
          </w:p>
        </w:tc>
        <w:tc>
          <w:tcPr>
            <w:tcW w:w="292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próg kosztowy rozliczenia substancji czynnej uprawniający do zastosowania współczynnika korygującego</w:t>
            </w:r>
          </w:p>
        </w:tc>
        <w:tc>
          <w:tcPr>
            <w:tcW w:w="1485" w:type="dxa"/>
            <w:vMerge w:val="restart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wartość współczynnika korygującego</w:t>
            </w:r>
          </w:p>
        </w:tc>
        <w:tc>
          <w:tcPr>
            <w:tcW w:w="3105" w:type="dxa"/>
            <w:vMerge w:val="restart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uwagi</w:t>
            </w:r>
          </w:p>
        </w:tc>
      </w:tr>
      <w:tr>
        <w:trPr>
          <w:wBefore w:w="0" w:type="dxa"/>
          <w:wAfter w:w="0" w:type="dxa"/>
          <w:trHeight w:hRule="atLeast" w:val="300"/>
        </w:trPr>
        <w:tc>
          <w:tcPr>
            <w:tcW w:w="534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  <w:tc>
          <w:tcPr>
            <w:tcW w:w="16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kod świadczenia</w:t>
            </w:r>
          </w:p>
        </w:tc>
        <w:tc>
          <w:tcPr>
            <w:tcW w:w="186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nazwa</w:t>
            </w:r>
          </w:p>
        </w:tc>
        <w:tc>
          <w:tcPr>
            <w:tcW w:w="163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kod produktu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nazwa</w:t>
            </w:r>
          </w:p>
        </w:tc>
        <w:tc>
          <w:tcPr>
            <w:tcW w:w="1440" w:type="dxa"/>
            <w:tcBorders>
              <w:top w:val="single" w:sz="2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wartość</w:t>
            </w:r>
          </w:p>
        </w:tc>
        <w:tc>
          <w:tcPr>
            <w:tcW w:w="1485" w:type="dxa"/>
            <w:tcBorders>
              <w:top w:val="single" w:sz="2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485" w:type="dxa"/>
            <w:vMerge w:val="continue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  <w:tc>
          <w:tcPr>
            <w:tcW w:w="310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68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5.08.05.0000170</w:t>
            </w:r>
          </w:p>
        </w:tc>
        <w:tc>
          <w:tcPr>
            <w:tcW w:w="186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hospitalizacja hematologiczna u dorosłych</w:t>
            </w:r>
          </w:p>
        </w:tc>
        <w:tc>
          <w:tcPr>
            <w:tcW w:w="16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 xml:space="preserve">Współczynnik korygujący może zostać zastosowany w odniesieniu do świadczenia wskazanego w kolumnie 2, rozliczanego w związku z terapią pacjentów, u których stosowana jest substancja czynna, o której mowa kolumnie 3, spełniająca warunek kosztowy określony w kolumnie 4 w przypadku każdego z podań lub wydań leku danemu pacjentowi w danym okresie. </w:t>
            </w: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5.08.05.0000171</w:t>
            </w:r>
          </w:p>
        </w:tc>
        <w:tc>
          <w:tcPr>
            <w:tcW w:w="186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hospitalizacja onkologiczna u dorosłych</w:t>
            </w:r>
          </w:p>
        </w:tc>
        <w:tc>
          <w:tcPr>
            <w:tcW w:w="16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5.08.05.0000172</w:t>
            </w:r>
          </w:p>
        </w:tc>
        <w:tc>
          <w:tcPr>
            <w:tcW w:w="186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kompleksowa porada ambulatoryjna dotycząca chemioterapii</w:t>
            </w: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5.08.05.0000173</w:t>
            </w:r>
          </w:p>
        </w:tc>
        <w:tc>
          <w:tcPr>
            <w:tcW w:w="186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podstawowa porada ambulatoryjna dotycząca chemioterapii</w:t>
            </w:r>
          </w:p>
        </w:tc>
        <w:tc>
          <w:tcPr>
            <w:tcW w:w="16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8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5.08.05.0000174</w:t>
            </w:r>
          </w:p>
        </w:tc>
        <w:tc>
          <w:tcPr>
            <w:tcW w:w="186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hospitalizacja hematoonkologicza u dzieci </w:t>
            </w:r>
          </w:p>
        </w:tc>
        <w:tc>
          <w:tcPr>
            <w:tcW w:w="16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8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5.08.05.0000175</w:t>
            </w:r>
          </w:p>
        </w:tc>
        <w:tc>
          <w:tcPr>
            <w:tcW w:w="186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hospitalizacja jednego dnia związana z podaniem leku z części A katalogu leków</w:t>
            </w:r>
          </w:p>
        </w:tc>
        <w:tc>
          <w:tcPr>
            <w:tcW w:w="16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capecitabinum</w:t>
            </w:r>
          </w:p>
        </w:tc>
        <w:tc>
          <w:tcPr>
            <w:tcW w:w="144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temozolomidum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bendamustini hydrochloridum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1,3164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anagrelidum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4,7085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0,2268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0,0431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559"/>
        </w:trPr>
        <w:tc>
          <w:tcPr>
            <w:tcW w:w="534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8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6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3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fulvestrantum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wAfter w:w="0" w:type="dxa"/>
          <w:trHeight w:hRule="atLeast" w:val="1095"/>
        </w:trPr>
        <w:tc>
          <w:tcPr>
            <w:tcW w:w="534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5.08.05.0000176</w:t>
            </w:r>
          </w:p>
        </w:tc>
        <w:tc>
          <w:tcPr>
            <w:tcW w:w="186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hospitalizacja jednego dnia w pozostałych przypadkach</w:t>
            </w:r>
          </w:p>
        </w:tc>
        <w:tc>
          <w:tcPr>
            <w:tcW w:w="163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filgrastimum</w:t>
            </w:r>
          </w:p>
        </w:tc>
        <w:tc>
          <w:tcPr>
            <w:tcW w:w="144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right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</w:tbl>
    <w:p/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Piątkowska Beata</dc:creator>
  <dcterms:created xsi:type="dcterms:W3CDTF">2024-01-03T11:40:27Z</dcterms:created>
  <cp:lastModifiedBy>Kociubowska Ewa</cp:lastModifiedBy>
  <dcterms:modified xsi:type="dcterms:W3CDTF">2024-01-26T11:54:02Z</dcterms:modified>
  <cp:revision>39</cp:revision>
</cp:coreProperties>
</file>