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8EAD9C" Type="http://schemas.openxmlformats.org/officeDocument/2006/relationships/officeDocument" Target="/word/document.xml" /><Relationship Id="coreR788EAD9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lub breksukabtagenem autoleucelu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Szpital Uniwersytecki nr 1 im. dr. Antoniego Jurasza</w:t>
            </w:r>
          </w:p>
          <w:p>
            <w:pPr>
              <w:jc w:val="left"/>
            </w:pPr>
            <w:r>
              <w:rPr>
                <w:sz w:val="20"/>
              </w:rPr>
              <w:t>85-094 Bydgoszcz</w:t>
            </w:r>
          </w:p>
          <w:p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pkt.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 Wzory dokumentów niezbędnych dla kwalifikacji pacjenta do terapii tisagenlecleucelem przez Zespół Koordynacyjny ds. CAR-T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Wniosek o zakwalifikowanie pacjenta do leczenia z zastosowaniem terapii tisagenlecleucelem w programie lekowym Leczenie chorych na ostrą białaczkę limfoblastyczną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do 25 lat nawrotowej lub opornej ostrej białaczki limfoblastycznej z komórek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tisagenlecleucelem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Musi być spełnione co najmniej jedno z kryteriów 5A-E</w:t>
            </w:r>
          </w:p>
          <w:p>
            <w:pPr>
              <w:jc w:val="left"/>
            </w:pPr>
            <w:r>
              <w:rPr>
                <w:b w:val="1"/>
              </w:rPr>
              <w:t xml:space="preserve">oraz wszystkie warunki 1-4; 6-9 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rozpoznanie ostrej białaczki limfoblastycznej z komórek prekursorowych limfocytów B;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wiek od 0 do 25 lat (włącznie);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stan sprawności ≥50 według skali Karnofsky’ego (wiek ≥16 lat) lub Lansky’ego (wiek &lt;16 lat);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przewidywany czas przeżycia pacjenta co najmniej 12 tygodni od momentu kwalifikacji do programu;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5) spełnienie co najmniej jednego z poniższych kryteriów:</w:t>
            </w:r>
          </w:p>
          <w:p>
            <w:pPr>
              <w:jc w:val="left"/>
            </w:pPr>
            <w:r>
              <w:t>5A) drugi lub kolejny nawrót;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5B) nawrót po przeszczepieniu allogenicznych krwiotwórczych komórek macierzystych (allo-HSCT) i po co najmniej 4 miesiącach przerwy pomiędzy allo-HSCT a podaniem tisagenlecleucelu; 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5C) pierwotna oporność na leczenie definiowana jako nieosiągnięcie całkowitej remisji (CR) po 2 cyklach standardowej chemioterapii lub chemiooporność definiowana jako nieosiągnięcie CR po jednym cyklu leczenia reindukującego stosowanego w nawrocie ALL;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5D) ALL z obecnym chromosomem Philadelphia z nietolerancją lub z niepowodzeniem co najmniej dwóch linii leczenia inhibitorami kinazy tyrozynowej (TKI) albo przeciwskazania do terapii TKI;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5E) brak kwalifikacji do allo-HSCT ze względu na choroby współistniejące, przeciwwskazania do leczenia kondycjonującgo przed allo-HSCT, brak odpowiedniego dawcy lub wcześniejsze allo-HSCT.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prawidłowa funkcja nerek (klirens kreatyniny powyżej 60 ml/min/1,73 m</w:t>
            </w:r>
            <w:r>
              <w:rPr>
                <w:vertAlign w:val="superscript"/>
              </w:rPr>
              <w:t>2</w:t>
            </w:r>
            <w:r>
              <w:t xml:space="preserve"> albo stężenie kreatyniny w surowicy w normie według wieku i płci);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aktywność aminotransferazy alaninowej ≤ 5 razy powyżej górnej granicy normy dla wieku;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stężenie bilirubiny &lt;2,0 mg/dl;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funkcja skurczowa lewej komory ≥28% potwierdzona przez echokardiogram lub frakcja wyrzutowa lewej komory ≥45% potwierdzona za pomocą echokardiogramu;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Warunki 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na którąkolwiek substancję pomocniczą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zakażenie HIV;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aktywne wirusowe zapalenie wątroby typu B,C;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współistnienie wrodzonych chorób genetycznych przebiegających z upośledzoną czynnością szpiku, takich jak niedokrwistość Fanconiego, zespół Kostmanna, zespół Schwachmana-Diamonda i innych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przewlekła choroba przeszczep przeciw gospodarzowi (GvHD) w stopniu 2-4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obecność przeciwwskazań do stosowania chemioterapii limfodeplecyjnej z zastosowaniem takich leków, jak: fludarabina i cyklofosfamid lub cytarabina i etopozyd.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aktywna obturacyjna lub restrykcyjna choroba płuc;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aktywna hemoliza;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koagulopatia;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12) aktywna choroba autoimmunologiczna;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13) pierwotny niedobór odporności;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wcześniejsze leczenie CAR-T (anty-CD19)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cytologiczna, cytometryczna wraz z potwierdzeniem obecności antygenu CD19 na blastach białaczkowych i/lub ocena molekularna szpiku kostnego dokumentująca oporność/nawrót choroby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parametrów krzepnięcia krwi (należy podać stosowane jednostki i zakres normy):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PT: 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aPTT: 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INR: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Fibrynogen: 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D-dimery: 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stężenia immunoglobuliny G: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Morfologia krwi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w kierunku zakażenia wirusem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………………………… </w:t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Wniosek o zakwalifikowanie pacjenta do leczenia z zastosowaniem terapii breksukabtagenem autoleucelu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26 lat i powyżej nawrotowej lub opornej ostrej białaczki limfoblastycznej z komórek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breksukabtagenem autoleucelu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Musi być spełnione co najmniej jedno z kryteriów 5A-E</w:t>
            </w:r>
          </w:p>
          <w:p>
            <w:pPr>
              <w:jc w:val="left"/>
            </w:pPr>
            <w:r>
              <w:rPr>
                <w:b w:val="1"/>
              </w:rPr>
              <w:t>oraz wszystkie warunki 1-4 oraz 6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rozpoznanie ostrej białaczki limfoblastycznej z komórek prekursorowych limfocytów B;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wiek 26 lat i powyżej;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stan sprawności 0-1 według skali ECOG;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obecność w szpiku kostnym &gt;5% blastów białaczkowych CD19+;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5) spełnienie co najmniej jednego z poniższych kryteriów:</w:t>
            </w:r>
          </w:p>
          <w:p>
            <w:pPr>
              <w:jc w:val="left"/>
            </w:pPr>
            <w:r>
              <w:t>5A) pierwotna oporność na leczenie definiowana jako brak całkowitej remisji hematologicznej po leczeniu pierwszej linii;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5B) pierwszy nawrót choroby w przypadku remisji trwającej ≤12 miesięcy; 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5C) drugi lub kolejny nawrót choroby;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5D) nawrót po przeszczepieniu allogenicznych krwiotwórczych komórek macierzystych (allo-HSCT) i po co najmniej 100 dniach przerwy pomiędzy allo-HSCT a podaniem breksukabtagenu autoleucel;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5E) ostra białaczka limfoblastyczna z obecnym chromosomem Filadelfia, z nietolerancją lub z niepowodzeniem leczenia co najmniej dwoma inhibitorami kinazy tyrozynowej BCR-ABL (TKI) albo przeciwwskazania do terapii TKI.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czynność serca, wątroby, nerek oraz płuc pozwalająca w ocenie lekarza prowadzącego na przeprowadzenie terapii</w:t>
            </w:r>
          </w:p>
        </w:tc>
        <w:tc>
          <w:tcPr>
            <w:tcW w:w="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Warunki 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na którąkolwiek substancję pomocniczą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zakażenie HIV;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aktywne wirusowe zapalenie wątroby typu B,C;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współistnienie wrodzonych chorób genetycznych przebiegających z upośledzoną czynnością szpiku, takich jak niedokrwistość Fanconiego, zespół Kostmanna, zespół Schwachmana-Diamonda i innych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przewlekła choroba przeszczep przeciw gospodarzowi (GvHD) w stopniu 2-4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obecność przeciwwskazań do stosowania chemioterapii limfodeplecyjnej z zastosowaniem takich leków, jak: cyklofosfamid i fludarabina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aktywna obturacyjna lub restrykcyjna choroba płuc;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aktywna hemoliza;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koagulopatia;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12) aktywna choroba autoimmunologiczna;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13) pierwotny niedobór odporności;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wcześniejsze leczenie CAR-T (anty-CD19)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15) izolowana pozaszpikowa wznowa ALL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16) zajęcie ośrodkowego układu nerwowego przez ALL</w:t>
            </w: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cytologiczna, cytometryczna wraz z potwierdzeniem obecności antygenu CD19 na blastach białaczkowych i/lub ocena molekularna szpiku kostnego dokumentująca oporność/nawrót choroby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parametrów krzepnięcia krwi (należy podać stosowane jednostki i zakres normy):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PT: 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aPTT: 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INR: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Fibrynogen: 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D-dimery: 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stężenia immunoglobuliny G: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Morfologia krwi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w kierunku zakażenia wirusem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………………………… </w:t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terapii tisagenlecleucelem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CAR-T: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Kymriah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 Przewodniczącego Zespołu Koordynacyjnego ds. CAR-T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terapii breksukabtagenem autoleucelu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CAR-T: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Tecartus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 Przewodniczącego Zespołu Koordynacyjnego ds. CAR-T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sz w:val="22"/>
          <w:u w:val="none" w:color="000000"/>
          <w:vertAlign w:val="baseline"/>
        </w:rPr>
        <w:t>www.nfz.gov.pl/bip/informacja-ado-nfz/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tisagenlecleucelem/ breksukabtagenem autoleucelu*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sz w:val="22"/>
          <w:u w:val="none" w:color="000000"/>
          <w:vertAlign w:val="baseline"/>
        </w:rPr>
        <w:t>www.nfz.gov.pl/bip/informacja-ado-nfz/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tisagenlecleucelem/breksukabtagenem autoleucelu* oraz zobowiązuję się do przyjmowania tego leku zgodnie z zaleceniami lekarskimi, oraz stawienia się na badania kontrolne w wyznaczonych terminach.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t xml:space="preserve">Data </w:t>
            </w:r>
          </w:p>
        </w:tc>
        <w:tc>
          <w:tcPr>
            <w:tcW w:w="754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i w:val="1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 xml:space="preserve">Data </w:t>
            </w:r>
          </w:p>
        </w:tc>
        <w:tc>
          <w:tcPr>
            <w:tcW w:w="754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2024-10-29T10:13:52Z</dcterms:created>
  <cp:lastModifiedBy>Michalak Alicja</cp:lastModifiedBy>
  <dcterms:modified xsi:type="dcterms:W3CDTF">2024-11-07T09:06:53Z</dcterms:modified>
  <cp:revision>81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