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7C0641" Type="http://schemas.openxmlformats.org/officeDocument/2006/relationships/officeDocument" Target="/word/document.xml" /><Relationship Id="coreRB7C064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pacjentów z kardiomiopatią oraz weryfikację jej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kardiomiopatii oraz weryfikacja jej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1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pacjentów z kardiomiopatią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2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E85 Amyloidoza</w:t>
            </w:r>
          </w:p>
          <w:p>
            <w:pPr>
              <w:jc w:val="left"/>
            </w:pPr>
            <w:r>
              <w:rPr>
                <w:sz w:val="20"/>
              </w:rPr>
              <w:t>2) I42.1 Przerostowa kardiomiopatia zawężająca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Kardiomiopatii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Kardiologii UJCM w Krakowskim Szpitalu Specjalistycznym im. Św. Jana Pawła II</w:t>
            </w:r>
          </w:p>
          <w:p>
            <w:pPr>
              <w:jc w:val="left"/>
            </w:pPr>
            <w:r>
              <w:rPr>
                <w:sz w:val="20"/>
              </w:rPr>
              <w:t>ul. Prądnicka 80</w:t>
            </w:r>
          </w:p>
          <w:p>
            <w:pPr>
              <w:jc w:val="left"/>
            </w:pPr>
            <w:r>
              <w:rPr>
                <w:sz w:val="20"/>
              </w:rPr>
              <w:t>32-202 Kraków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kardiologii lub kardiochirurgii, lub chorób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kardiomiopatią (ICD-10:E85, I42.1 )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kardiomiopatią (ICD-10: E85, I42.1)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1 Dane do kwalifikacji (kardiomiopatia w przebiegu amyloidozy transtyretynowej, ICD-10: E85):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klasy NYHA: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1.Kardiomiopatia w przebiegu amyloidozy transtyretynowej (ATTR) potwierdzona przez badanie scyntygraficzne serca z radioizotopem (99mTc-DPD lub 99mTc-PYP lub 99mTc-HMDP) lub biopsję tkanki i typowanie amyloidu za pomocą immunohistochemii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Genetyczny ATTR lub typu dzikiego określony poprzez sekwencjonowanie genu transtyretyny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Grubość przegrody międzykomorowej przekraczająca 12 mm w badaniu echokardiografii przezklatkowej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przeszczepu serca lub wątroby w wywiadzie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Wynik testu 6-minutowego chodu u pacjentów bez ograniczeń ruchowych powyżej 100 m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Adekwatna wydolność narządowa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Brak przeciwskazań do stosowania leku zgodnie z aktualną Charakterystyką Produktu Leczniczego (ChPL)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Wykonano wszystkie wymagane badania diagnostyczne przed kwalifikacją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Badania przy kwalifikacji (kardiomiopatia w przebiegu amyloidozy transtyretynowej, ICD-10: E85):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Scyntygrafia serca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Sekwencjonowanie genu transtyretyny (TTR)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Echokardiografia przezklatkowa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Holter 24-godzinne monitorowanie 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6-minutowego chodu u pacjentów bez ograniczeń ruchowych (6MWT)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D.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 badania i konsultacje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hematologiczna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51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 Dane do kwalifikacji (leczenie przerostowej kardiomiopatii zawężającej, ICD-10: I42.1):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klasy NYHA: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Kryteria kwalifikacji do leczenia przerostowej kardiomiopatii zawężającej (ICD-10: I42.1) 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kardiomiopatii przerostowej zawężającej (oHCM) zgodnie z aktualnymi wytycznymi ESC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Grubość ściany lewej komory ≥15 mm (lub ≥13 mm w oHCM rodzinnej) w badaniu echokardiografii przezklatkowej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Gradient ciśnień w drodze odpływu lewej komory (LVOT) spoczynkowy lub po próbie Valsalvy ≥ 50 mmHg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Frakcja wyrzutowa lewej komory (LVEF) ≥55%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Niewystarczająca kontrola choroby pomimo stosowania leczenia beta-adrenolitykiem lub antagonistą kanału wapniowego, w optymalnej dawce lub w przypadku nietolerancji/przeciwskazania do tych terapii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Brak chorób kardiologicznych lub ogólnoustrojowych. innych niż oHCM, które mogą stanowić wytłumaczenie dla hipertrofii lewej komory serca (w tym choroby Fabry’ego, amyloidozy, zespołu Noonan z hipertrofią lewej komory)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Brak przeciwskazań do stosowania leku zgodnie z aktualną Charakterystyką Produktu Leczniczego (ChPL)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Wykonano wszystkie wymagane badania diagnostyczne przed kwalifikacją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przy kwalifikacji (leczenie przerostowej kardiomiopatii zawężającej, ICD-10: I42.1)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Echokardiografia przezklatkowa (ewentualnie echokardiografia wysiłkowa TKI, MRI lub weryfikacja LVOT przeprowadzona metodą bezpośrednich pomiarów ciśnień)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Genotypowanie pacjentów pod kątem cytochromu P450 (CYP) 2C19 (CYP2C19)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(poziom N-końcowego propeptydu natriuretycznego typu B (NT-proBNP))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(troponina T, troponina I)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kardiomiopatią (ICD-10: E85, I42.1) 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Kardiomiopatii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tafamidis/ mawakamten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Kardiomiopatii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80" w:after="8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 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kardiomiopatią (ICD-10: E85, I42.1)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tafamidisem/ mawakamtenem oraz zobowiązuję się do przyjmowania tego leku zgodnie z zaleceniami lekarskimi, oraz stawienia się na badania kontrolne w wyznaczonych terminach.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2024-10-29T10:38:26Z</dcterms:created>
  <cp:lastModifiedBy>Michalak Alicja</cp:lastModifiedBy>
  <dcterms:modified xsi:type="dcterms:W3CDTF">2024-11-07T09:06:53Z</dcterms:modified>
  <cp:revision>75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