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626A831" Type="http://schemas.openxmlformats.org/officeDocument/2006/relationships/officeDocument" Target="/word/document.xml" /><Relationship Id="coreR5626A83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90/2022/DGL</w:t>
        <w:br w:type="textWrapping"/>
        <w:t>Prezesa Narodowego Funduszu Zdrowia</w:t>
        <w:br w:type="textWrapping"/>
        <w:t>z dnia 22 lipca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185"/>
        </w:trPr>
        <w:tc>
          <w:tcPr>
            <w:tcW w:w="15015" w:type="dxa"/>
            <w:gridSpan w:val="9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t>Część A</w:t>
              <w:br w:type="textWrapping"/>
              <w:t>substancje czynne zawarte w lekach niedopuszczonych do obrotu na terytorium RP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6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199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54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3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</w:t>
            </w:r>
          </w:p>
        </w:tc>
        <w:tc>
          <w:tcPr>
            <w:tcW w:w="4590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2985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66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29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5.08.05.0000018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carmustinum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202,6656</w:t>
            </w:r>
          </w:p>
        </w:tc>
        <w:tc>
          <w:tcPr>
            <w:tcW w:w="16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można łączyć ze świadczeniami z załącznika nr 1e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5.08.05.0000019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chlormethinum 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1217,1284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5.08.05.0000024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dactinomycinum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12675,4503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5.08.05.0000025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daunorubicinum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281,7206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5.08.05.0000033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lomustinum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142,9577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5.08.05.0000034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melphalanum - inj.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287,7167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5.08.05.0000037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mitoxantronum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1085,1675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5.08.05.0000039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procarbazinum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34,2354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5.08.05.0000040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thalidomidum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7,6880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5.08.05.0000042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trofosfamidum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77,2486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5.08.05.0000043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vindesinum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13679,7072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5.08.05.0000044</w:t>
            </w:r>
          </w:p>
        </w:tc>
        <w:tc>
          <w:tcPr>
            <w:tcW w:w="19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teniposidum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152,6411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5.08.05.0000169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erwinia L-asparaginasum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32,6585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5.08.05.0000178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etoposidum - p.o.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114,8329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5.08.05.0000179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etoposidi phosphas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229,6658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5.08.05.0000180</w:t>
            </w:r>
          </w:p>
        </w:tc>
        <w:tc>
          <w:tcPr>
            <w:tcW w:w="19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idarubicinum - p.o.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5422,6496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 xml:space="preserve">Część B </w:t>
              <w:br w:type="textWrapping"/>
              <w:t>substancje czynne zawarte w lekach czasowo niedostępnych w obrocie na terytorium RP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8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1995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3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</w:t>
            </w:r>
          </w:p>
        </w:tc>
        <w:tc>
          <w:tcPr>
            <w:tcW w:w="459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2985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6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5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2985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5.08.05.0000199</w:t>
            </w:r>
          </w:p>
        </w:tc>
        <w:tc>
          <w:tcPr>
            <w:tcW w:w="19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azacitidinum-inj.</w:t>
            </w:r>
          </w:p>
        </w:tc>
        <w:tc>
          <w:tcPr>
            <w:tcW w:w="1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634,8230</w:t>
            </w:r>
          </w:p>
        </w:tc>
        <w:tc>
          <w:tcPr>
            <w:tcW w:w="16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dotyczy leków o mocy: 25 mg/ml; 1 fiol. A 100 mg;</w:t>
              <w:br w:type="textWrapping"/>
              <w:t>stosuje się do rozliczania świadczeń udzielanych od dnia 26 maja 2020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5.08.05.0000200</w:t>
            </w: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voriconazolum - p.o.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3,2880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od dnia 3 lipca 2020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5.08.05.0000201</w:t>
            </w: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 - inj. 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0,3201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dotyczy leków o mocy: 4mg/2ml oraz 8mg/4ml</w:t>
              <w:br w:type="textWrapping"/>
              <w:t xml:space="preserve">stosuje się do rozliczania świadczeń udzielanych  od dnia 2 października 2020 r.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5.08.05.0000213</w:t>
            </w: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arsenii trioxidum- inj. 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75,6000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od dnia 14 marca 2022 r. do 31 marca 2022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5.08.05.0000213</w:t>
            </w: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arsenii trioxidum- inj. 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72,3445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od dnia 1 kwietnia 2022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5.08.05.0000214</w:t>
            </w: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pegasparagasum- inj. 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193,0006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od dnia 7 kwietnia 2022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5.08.05.0000215</w:t>
            </w: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calcii folinas - inj. 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20,6220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od dnia 30 maja 2022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5.08.05.0000216</w:t>
            </w: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doxorubicinum liposomanum pegylatum - inj. 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633,512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29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można łączyć ze świadczeniami z załącznika nr 1e</w:t>
            </w:r>
          </w:p>
          <w:p>
            <w:pPr>
              <w:jc w:val="center"/>
            </w:pPr>
            <w:r>
              <w:rPr>
                <w:sz w:val="20"/>
              </w:rPr>
              <w:t>stosuje się do rozliczania świadczeń udzielanych od dnia 31 maja 2022 r. do dnia 31 sierpnia 2022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2022-07-21T11:09:24Z</dcterms:created>
  <cp:lastModifiedBy>Mysińska Monika</cp:lastModifiedBy>
  <dcterms:modified xsi:type="dcterms:W3CDTF">2022-07-22T10:26:07Z</dcterms:modified>
  <cp:revision>9</cp:revision>
  <dc:subject>zmieniające zarządzenie w sprawie określenia warunków zawierania i realizacji umów w rodzaju leczenie szpitalne w zakresie chemioterapia</dc:subject>
  <dc:title>Zarządzenie</dc:title>
</cp:coreProperties>
</file>