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D2F3C43" Type="http://schemas.openxmlformats.org/officeDocument/2006/relationships/officeDocument" Target="/word/document.xml" /><Relationship Id="coreRD2F3C4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keepNext w:val="1"/>
        <w:spacing w:lineRule="auto" w:line="360" w:before="120" w:after="120" w:beforeAutospacing="0" w:afterAutospacing="0"/>
        <w:ind w:firstLine="0" w:left="4535" w:right="0"/>
        <w:jc w:val="left"/>
        <w:rPr>
          <w:rFonts w:ascii="Times New Roman" w:hAnsi="Times New Roman"/>
          <w:sz w:val="22"/>
        </w:rPr>
      </w:pPr>
      <w:r>
        <w:rPr>
          <w:rFonts w:ascii="Times New Roman" w:hAnsi="Times New Roman"/>
          <w:sz w:val="22"/>
        </w:rPr>
        <w:t>Załącznik Nr 20 do zarządzenia Nr 79/2022/DSOZ</w:t>
        <w:br w:type="textWrapping"/>
        <w:t>Prezesa Narodowego Funduszu Zdrowia</w:t>
        <w:br w:type="textWrapping"/>
        <w:t>z dnia 29 czerwca 2022 r.</w:t>
      </w:r>
    </w:p>
    <w:p>
      <w:pPr>
        <w:keepNext w:val="1"/>
        <w:spacing w:lineRule="auto" w:line="240" w:before="0" w:after="480" w:beforeAutospacing="0" w:afterAutospacing="0"/>
        <w:ind w:firstLine="0" w:left="0" w:right="0"/>
        <w:jc w:val="center"/>
        <w:rPr>
          <w:rFonts w:ascii="Times New Roman" w:hAnsi="Times New Roman"/>
          <w:b w:val="0"/>
          <w:caps w:val="0"/>
          <w:strike w:val="0"/>
          <w:color w:val="auto"/>
          <w:sz w:val="22"/>
          <w:u w:val="none"/>
        </w:rPr>
      </w:pPr>
      <w:r>
        <w:rPr>
          <w:rFonts w:ascii="Times New Roman" w:hAnsi="Times New Roman"/>
          <w:b w:val="1"/>
          <w:caps w:val="0"/>
          <w:sz w:val="22"/>
        </w:rPr>
        <w:t>Wykaz przyczyn udzielonych porad lekarskich wg klasyfikacji ICD 10 kwalifikujących do stosowania współczynnika 3,2 korygującego stawkę kapitacyjną, przy finansowaniu świadczeń lekarza poz dla osób przewlekle chorych na cukrzycę, choroby układu krążenia lub choroby tarczycy*</w:t>
      </w: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1"/>
          <w:i w:val="0"/>
          <w:caps w:val="0"/>
          <w:strike w:val="0"/>
          <w:color w:val="auto"/>
          <w:sz w:val="22"/>
          <w:u w:val="none"/>
          <w:vertAlign w:val="baseline"/>
        </w:rPr>
        <w:t>(E10-E14) Cukrzyca</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c>
          <w:tcPr>
            <w:tcW w:w="87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E10</w:t>
            </w:r>
          </w:p>
        </w:tc>
        <w:tc>
          <w:tcPr>
            <w:tcW w:w="921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 xml:space="preserve">Cukrzyca insulinozależna </w:t>
            </w:r>
          </w:p>
        </w:tc>
      </w:tr>
      <w:tr>
        <w:tblPrEx>
          <w:tblW w:w="5000" w:type="pct"/>
          <w:tblLayout w:type="fixed"/>
          <w:tblCellMar>
            <w:left w:w="108" w:type="dxa"/>
            <w:right w:w="108" w:type="dxa"/>
          </w:tblCellMar>
        </w:tblPrEx>
        <w:tc>
          <w:tcPr>
            <w:tcW w:w="87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E11</w:t>
            </w:r>
          </w:p>
        </w:tc>
        <w:tc>
          <w:tcPr>
            <w:tcW w:w="921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 xml:space="preserve">Cukrzyca insulinoniezależna </w:t>
            </w:r>
          </w:p>
        </w:tc>
      </w:tr>
      <w:tr>
        <w:tblPrEx>
          <w:tblW w:w="5000" w:type="pct"/>
          <w:tblLayout w:type="fixed"/>
          <w:tblCellMar>
            <w:left w:w="108" w:type="dxa"/>
            <w:right w:w="108" w:type="dxa"/>
          </w:tblCellMar>
        </w:tblPrEx>
        <w:tc>
          <w:tcPr>
            <w:tcW w:w="87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E14</w:t>
            </w:r>
          </w:p>
        </w:tc>
        <w:tc>
          <w:tcPr>
            <w:tcW w:w="921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 xml:space="preserve">Cukrzyca nie określona </w:t>
            </w:r>
          </w:p>
        </w:tc>
      </w:tr>
    </w:tbl>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1"/>
          <w:i w:val="0"/>
          <w:caps w:val="0"/>
          <w:strike w:val="0"/>
          <w:color w:val="000000"/>
          <w:sz w:val="22"/>
          <w:u w:val="none" w:color="000000"/>
          <w:vertAlign w:val="baseline"/>
        </w:rPr>
        <w:t xml:space="preserve">(I10 – I15) Choroba nadciśnieniowa </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c>
          <w:tcPr>
            <w:tcW w:w="87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I10</w:t>
            </w:r>
          </w:p>
        </w:tc>
        <w:tc>
          <w:tcPr>
            <w:tcW w:w="921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Samoistne (pierwotne) nadciśnienie </w:t>
            </w:r>
          </w:p>
        </w:tc>
      </w:tr>
      <w:tr>
        <w:tblPrEx>
          <w:tblW w:w="5000" w:type="pct"/>
          <w:tblLayout w:type="fixed"/>
          <w:tblCellMar>
            <w:left w:w="108" w:type="dxa"/>
            <w:right w:w="108" w:type="dxa"/>
          </w:tblCellMar>
        </w:tblPrEx>
        <w:trPr>
          <w:trHeight w:hRule="atLeast" w:val="75"/>
        </w:trPr>
        <w:tc>
          <w:tcPr>
            <w:tcW w:w="87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I11.0</w:t>
            </w:r>
          </w:p>
        </w:tc>
        <w:tc>
          <w:tcPr>
            <w:tcW w:w="921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Choroba nadciśnieniowa z zajęciem serca, z (zastoinową) niewydolnością serca </w:t>
            </w:r>
          </w:p>
        </w:tc>
      </w:tr>
      <w:tr>
        <w:tblPrEx>
          <w:tblW w:w="5000" w:type="pct"/>
          <w:tblLayout w:type="fixed"/>
          <w:tblCellMar>
            <w:left w:w="108" w:type="dxa"/>
            <w:right w:w="108" w:type="dxa"/>
          </w:tblCellMar>
        </w:tblPrEx>
        <w:tc>
          <w:tcPr>
            <w:tcW w:w="87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I11.9</w:t>
            </w:r>
          </w:p>
        </w:tc>
        <w:tc>
          <w:tcPr>
            <w:tcW w:w="921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Choroba nadciśnieniowa z zajęciem serca bez (zastoinowej) niewydolności serca </w:t>
            </w:r>
          </w:p>
        </w:tc>
      </w:tr>
      <w:tr>
        <w:tblPrEx>
          <w:tblW w:w="5000" w:type="pct"/>
          <w:tblLayout w:type="fixed"/>
          <w:tblCellMar>
            <w:left w:w="108" w:type="dxa"/>
            <w:right w:w="108" w:type="dxa"/>
          </w:tblCellMar>
        </w:tblPrEx>
        <w:tc>
          <w:tcPr>
            <w:tcW w:w="87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I12.0</w:t>
            </w:r>
          </w:p>
        </w:tc>
        <w:tc>
          <w:tcPr>
            <w:tcW w:w="921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Choroba nadciśnieniowa z zajęciem nerek, z niewydolnością nerek </w:t>
            </w:r>
          </w:p>
        </w:tc>
      </w:tr>
      <w:tr>
        <w:tblPrEx>
          <w:tblW w:w="5000" w:type="pct"/>
          <w:tblLayout w:type="fixed"/>
          <w:tblCellMar>
            <w:left w:w="108" w:type="dxa"/>
            <w:right w:w="108" w:type="dxa"/>
          </w:tblCellMar>
        </w:tblPrEx>
        <w:tc>
          <w:tcPr>
            <w:tcW w:w="87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I12.9</w:t>
            </w:r>
          </w:p>
        </w:tc>
        <w:tc>
          <w:tcPr>
            <w:tcW w:w="921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Choroba nadciśnieniowa z zajęciem nerek, bez niewydolności nerek </w:t>
            </w:r>
          </w:p>
        </w:tc>
      </w:tr>
      <w:tr>
        <w:tblPrEx>
          <w:tblW w:w="5000" w:type="pct"/>
          <w:tblLayout w:type="fixed"/>
          <w:tblCellMar>
            <w:left w:w="108" w:type="dxa"/>
            <w:right w:w="108" w:type="dxa"/>
          </w:tblCellMar>
        </w:tblPrEx>
        <w:tc>
          <w:tcPr>
            <w:tcW w:w="87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I13.0</w:t>
            </w:r>
          </w:p>
        </w:tc>
        <w:tc>
          <w:tcPr>
            <w:tcW w:w="921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Choroba nadciśnieniowa z zajęciem serca i nerek, z (zastoinową) niewydolnością serca </w:t>
            </w:r>
          </w:p>
        </w:tc>
      </w:tr>
      <w:tr>
        <w:tblPrEx>
          <w:tblW w:w="5000" w:type="pct"/>
          <w:tblLayout w:type="fixed"/>
          <w:tblCellMar>
            <w:left w:w="108" w:type="dxa"/>
            <w:right w:w="108" w:type="dxa"/>
          </w:tblCellMar>
        </w:tblPrEx>
        <w:tc>
          <w:tcPr>
            <w:tcW w:w="87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I13.1</w:t>
            </w:r>
          </w:p>
        </w:tc>
        <w:tc>
          <w:tcPr>
            <w:tcW w:w="921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Choroba nadciśnieniowa z zajęciem serca i nerek, z niewydolnością nerek </w:t>
            </w:r>
          </w:p>
        </w:tc>
      </w:tr>
      <w:tr>
        <w:tblPrEx>
          <w:tblW w:w="5000" w:type="pct"/>
          <w:tblLayout w:type="fixed"/>
          <w:tblCellMar>
            <w:left w:w="108" w:type="dxa"/>
            <w:right w:w="108" w:type="dxa"/>
          </w:tblCellMar>
        </w:tblPrEx>
        <w:tc>
          <w:tcPr>
            <w:tcW w:w="87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I13.2</w:t>
            </w:r>
          </w:p>
        </w:tc>
        <w:tc>
          <w:tcPr>
            <w:tcW w:w="921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Choroba nadciśnieniowa z zajęciem serca i nerek, tak z (zastoinową) niewydolnością serca jak i niewydolnością nerek </w:t>
            </w:r>
          </w:p>
        </w:tc>
      </w:tr>
      <w:tr>
        <w:tblPrEx>
          <w:tblW w:w="5000" w:type="pct"/>
          <w:tblLayout w:type="fixed"/>
          <w:tblCellMar>
            <w:left w:w="108" w:type="dxa"/>
            <w:right w:w="108" w:type="dxa"/>
          </w:tblCellMar>
        </w:tblPrEx>
        <w:tc>
          <w:tcPr>
            <w:tcW w:w="87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I13.9</w:t>
            </w:r>
          </w:p>
        </w:tc>
        <w:tc>
          <w:tcPr>
            <w:tcW w:w="921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 Choroba nadciśnieniowa z zajęciem serca i nerek, nie określona </w:t>
            </w:r>
          </w:p>
        </w:tc>
      </w:tr>
      <w:tr>
        <w:tblPrEx>
          <w:tblW w:w="5000" w:type="pct"/>
          <w:tblLayout w:type="fixed"/>
          <w:tblCellMar>
            <w:left w:w="108" w:type="dxa"/>
            <w:right w:w="108" w:type="dxa"/>
          </w:tblCellMar>
        </w:tblPrEx>
        <w:tc>
          <w:tcPr>
            <w:tcW w:w="87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I15</w:t>
            </w:r>
          </w:p>
        </w:tc>
        <w:tc>
          <w:tcPr>
            <w:tcW w:w="921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 Nadciśnienie wtórne </w:t>
            </w:r>
          </w:p>
        </w:tc>
      </w:tr>
    </w:tbl>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1"/>
          <w:i w:val="0"/>
          <w:caps w:val="0"/>
          <w:strike w:val="0"/>
          <w:color w:val="000000"/>
          <w:sz w:val="22"/>
          <w:u w:val="none" w:color="000000"/>
          <w:vertAlign w:val="baseline"/>
        </w:rPr>
        <w:t xml:space="preserve">(I20 – I25) Choroba niedokrwienna serca </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I20.1</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Dusznica bolesna z udokumentowanym skurczem naczyń wieńcowych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I20.8</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Inne postacie dusznicy bolesnej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I20.9</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Dusznica bolesna, nie określona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I25</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 xml:space="preserve">Przewlekła choroba niedokrwienna serca </w:t>
            </w:r>
          </w:p>
        </w:tc>
      </w:tr>
    </w:tbl>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1"/>
          <w:i w:val="0"/>
          <w:caps w:val="0"/>
          <w:strike w:val="0"/>
          <w:color w:val="000000"/>
          <w:sz w:val="22"/>
          <w:u w:val="none" w:color="000000"/>
          <w:vertAlign w:val="baseline"/>
        </w:rPr>
        <w:t>(I26 – I28) Zespół sercowo-płucny i choroby krążenia płucnego</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I27.1</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Choroba serca w przebiegu kifoskoliozy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I27.8</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Inne określone zespoły sercowo-płucne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I27.9</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Zespół sercowo-płucny, nie określony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I28</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 xml:space="preserve">Inne choroby naczyń płucnych </w:t>
            </w:r>
          </w:p>
        </w:tc>
      </w:tr>
    </w:tbl>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1"/>
          <w:i w:val="0"/>
          <w:caps w:val="0"/>
          <w:strike w:val="0"/>
          <w:color w:val="000000"/>
          <w:sz w:val="22"/>
          <w:u w:val="none" w:color="000000"/>
          <w:vertAlign w:val="baseline"/>
        </w:rPr>
        <w:t xml:space="preserve">(I30 – I52) Inne choroby serca </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I39.0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Zaburzenia funkcji zastawki dwudzielnej w chorobach sklasyfikowanych gdzie indziej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I39.1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Zaburzenia funkcji zastawki tętnicy głównej w chorobach sklasyfikowanych gdzie indziej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I39.2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Zaburzenia funkcji zastawki trójdzielnej w chorobach sklasyfikowanych gdzie indziej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I39.3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Zaburzenia funkcji zastawki pnia płucnego w chorobach sklasyfikowanych gdzie indziej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I39.4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Zaburzenia funkcji wielu zastawek w chorobach sklasyfikowanych gdzie indziej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I42.0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Kardiomiopatia rozstrzeniowa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I42.2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Inne kardiomiopatie przerostowe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I42.6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Kardiomiopatia alkoholowa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I42.8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Inne kardiomiopatie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I42.9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Kardiomiopatia, nie określona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I43.1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 xml:space="preserve">Kardiomiopatia w chorobach metabolicznych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I43.2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 xml:space="preserve">Kardiomiopatia w chorobach z niedoborów pokarmowych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I43.8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Kardiomiopatia w innych chorobach sklasyfikowanych gdzie indziej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I48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Migotanie i trzepotanie przedsionków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I50.0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Niewydolność serca zastoinowa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I50.1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Niewydolność serca lewokomorowa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I50.9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Niewydolność serca, nie określona </w:t>
            </w:r>
          </w:p>
        </w:tc>
      </w:tr>
    </w:tbl>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1"/>
          <w:i w:val="0"/>
          <w:caps w:val="0"/>
          <w:strike w:val="0"/>
          <w:color w:val="000000"/>
          <w:sz w:val="22"/>
          <w:u w:val="none" w:color="000000"/>
          <w:vertAlign w:val="baseline"/>
        </w:rPr>
        <w:t xml:space="preserve">(I60 – I69) Choroby naczyń mózgowych </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I65.0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 xml:space="preserve">Niedrożność i zwężenie tętnicy kręgowej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I65.1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Niedrożność i zwężenie tętnicy podstawnej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I65.2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Niedrożność i zwężenie tętnicy szyjnej wewnętrznej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I65.3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Niedrożność i zwężenie tętnic przedmózgowych, mnogie i obustronne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I65.8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Niedrożność i zwężenie innych tętnic przedmózgowych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I65.9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Niedrożność i zwężenie nieokreślonych tętnic przedmózgowych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I66.0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Niedrożność i zwężenie tętnicy środkowej mózgu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I66.1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Niedrożność i zwężenie tętnicy przedniej mózgu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I66.2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Niedrożność i zwężenie tętnicy tylnej mózgu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I66.3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Niedrożność i zwężenie tętnic móżdżku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I66.4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Niedrożność i zwężenie tętnic mózgowych, mnogie i obustronne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I66.8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Niedrożność i zwężenie innych tętnic mózgowych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I66.9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Niedrożność i zwężenie nieokreślonych tętnic mózgowych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I67.2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Miażdżyca tętnic mózgowych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I67.3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 xml:space="preserve">Postępująca naczyniowa leukoencefalopatia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I67.4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Encefalopatia nadciśnieniowa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I67.5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Choroba Moyamoya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I67.9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Choroba naczyń mózgowych, nie określona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I69</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Następstwa chorób naczyń mózgowych</w:t>
            </w:r>
          </w:p>
        </w:tc>
      </w:tr>
    </w:tbl>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1"/>
          <w:i w:val="0"/>
          <w:caps w:val="0"/>
          <w:strike w:val="0"/>
          <w:color w:val="000000"/>
          <w:sz w:val="22"/>
          <w:u w:val="none" w:color="000000"/>
          <w:vertAlign w:val="baseline"/>
        </w:rPr>
        <w:t xml:space="preserve">(I70 – I79) Choroby tętnic, tętniczek i naczyń włosowatych </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I70.0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Miażdżyca tętnicy głównej (aorty)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I70.1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Miażdżyca tętnicy nerkowej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I70.2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Miażdżyca tętnic kończyn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I70.8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Miażdżyca innych tętnic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I70.9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Uogólniona i nieokreślona miażdżyca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I71.2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Tętniak odcinka piersiowego tętnicy głównej, bez wzmianki o pęknięciu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I71.4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Tętniak odcinka brzusznego tętnicy głównej, bez wzmianki o pęknięciu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I71.6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Tętniak odcinka piersiowo-brzusznego tętnicy głównej, bez wzmianki o pęknięciu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I71.9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Tętniak tętnicy głównej o nieokreślonym umiejscowieniu, bez wzmianki o pęknięciu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I72.0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Tętniak tętnicy szyjnej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I72.1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Tętniak tętnicy kończyny górnej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I72.2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 xml:space="preserve">Tętniak tętnicy nerkowej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I72.3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 xml:space="preserve">Tętniak tętnicy biodrowej (wspólnej) (zewnętrznej) (wewnętrznej)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I72.4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Tętniak tętnicy kończyny dolnej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I72.8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 xml:space="preserve">Tętniak innych określonych tętnic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I72.9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Tętniak o nieokreślonym umiejscowieniu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I73.0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Zespół Reynauda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I73.1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Zakrzepowo-zarostowe zapalenie naczyń [Buergera]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I73.8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Inne określone choroby naczyń obwodowych </w:t>
            </w:r>
          </w:p>
        </w:tc>
      </w:tr>
      <w:tr>
        <w:tblPrEx>
          <w:tblW w:w="5000" w:type="pct"/>
          <w:tblLayout w:type="fixed"/>
          <w:tblCellMar>
            <w:left w:w="108" w:type="dxa"/>
            <w:right w:w="108" w:type="dxa"/>
          </w:tblCellMar>
        </w:tblPrEx>
        <w:tc>
          <w:tcPr>
            <w:tcW w:w="85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t>I73.9 </w:t>
            </w:r>
          </w:p>
        </w:tc>
        <w:tc>
          <w:tcPr>
            <w:tcW w:w="922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Choroba naczyń obwodowych, nie określona </w:t>
            </w:r>
          </w:p>
        </w:tc>
      </w:tr>
    </w:tbl>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1"/>
          <w:i w:val="0"/>
          <w:caps w:val="0"/>
          <w:strike w:val="0"/>
          <w:color w:val="000000"/>
          <w:sz w:val="22"/>
          <w:u w:val="none" w:color="000000"/>
          <w:vertAlign w:val="baseline"/>
        </w:rPr>
        <w:t>(E00 – E07) Choroby tarczycy</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c>
          <w:tcPr>
            <w:tcW w:w="87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E00</w:t>
            </w:r>
          </w:p>
        </w:tc>
        <w:tc>
          <w:tcPr>
            <w:tcW w:w="921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Wrodzony zespół niedoboru jodu</w:t>
            </w:r>
          </w:p>
        </w:tc>
      </w:tr>
      <w:tr>
        <w:tblPrEx>
          <w:tblW w:w="5000" w:type="pct"/>
          <w:tblLayout w:type="fixed"/>
          <w:tblCellMar>
            <w:left w:w="108" w:type="dxa"/>
            <w:right w:w="108" w:type="dxa"/>
          </w:tblCellMar>
        </w:tblPrEx>
        <w:tc>
          <w:tcPr>
            <w:tcW w:w="87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E01</w:t>
            </w:r>
          </w:p>
        </w:tc>
        <w:tc>
          <w:tcPr>
            <w:tcW w:w="921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Niedoczynność tarczycy z powodu niedoboru jodu i pokrewnych przyczyn</w:t>
            </w:r>
          </w:p>
        </w:tc>
      </w:tr>
      <w:tr>
        <w:tblPrEx>
          <w:tblW w:w="5000" w:type="pct"/>
          <w:tblLayout w:type="fixed"/>
          <w:tblCellMar>
            <w:left w:w="108" w:type="dxa"/>
            <w:right w:w="108" w:type="dxa"/>
          </w:tblCellMar>
        </w:tblPrEx>
        <w:tc>
          <w:tcPr>
            <w:tcW w:w="87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E02</w:t>
            </w:r>
          </w:p>
        </w:tc>
        <w:tc>
          <w:tcPr>
            <w:tcW w:w="921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Subkliniczna postać niedoczynności tarczycy z powodu niedoboru jodu</w:t>
            </w:r>
          </w:p>
        </w:tc>
      </w:tr>
      <w:tr>
        <w:tblPrEx>
          <w:tblW w:w="5000" w:type="pct"/>
          <w:tblLayout w:type="fixed"/>
          <w:tblCellMar>
            <w:left w:w="108" w:type="dxa"/>
            <w:right w:w="108" w:type="dxa"/>
          </w:tblCellMar>
        </w:tblPrEx>
        <w:tc>
          <w:tcPr>
            <w:tcW w:w="87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E03</w:t>
            </w:r>
          </w:p>
        </w:tc>
        <w:tc>
          <w:tcPr>
            <w:tcW w:w="921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Inne postacie niedoczynności tarczycy</w:t>
            </w:r>
          </w:p>
        </w:tc>
      </w:tr>
      <w:tr>
        <w:tblPrEx>
          <w:tblW w:w="5000" w:type="pct"/>
          <w:tblLayout w:type="fixed"/>
          <w:tblCellMar>
            <w:left w:w="108" w:type="dxa"/>
            <w:right w:w="108" w:type="dxa"/>
          </w:tblCellMar>
        </w:tblPrEx>
        <w:tc>
          <w:tcPr>
            <w:tcW w:w="87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E04</w:t>
            </w:r>
          </w:p>
        </w:tc>
        <w:tc>
          <w:tcPr>
            <w:tcW w:w="921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Wole nietoksyczne, inne</w:t>
            </w:r>
          </w:p>
        </w:tc>
      </w:tr>
      <w:tr>
        <w:tblPrEx>
          <w:tblW w:w="5000" w:type="pct"/>
          <w:tblLayout w:type="fixed"/>
          <w:tblCellMar>
            <w:left w:w="108" w:type="dxa"/>
            <w:right w:w="108" w:type="dxa"/>
          </w:tblCellMar>
        </w:tblPrEx>
        <w:tc>
          <w:tcPr>
            <w:tcW w:w="87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E05</w:t>
            </w:r>
          </w:p>
        </w:tc>
        <w:tc>
          <w:tcPr>
            <w:tcW w:w="921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Tyreotoksykoza (nadczynność tarczycy)</w:t>
            </w:r>
          </w:p>
        </w:tc>
      </w:tr>
      <w:tr>
        <w:tblPrEx>
          <w:tblW w:w="5000" w:type="pct"/>
          <w:tblLayout w:type="fixed"/>
          <w:tblCellMar>
            <w:left w:w="108" w:type="dxa"/>
            <w:right w:w="108" w:type="dxa"/>
          </w:tblCellMar>
        </w:tblPrEx>
        <w:tc>
          <w:tcPr>
            <w:tcW w:w="87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E06</w:t>
            </w:r>
          </w:p>
        </w:tc>
        <w:tc>
          <w:tcPr>
            <w:tcW w:w="921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Zapalenie tarczycy</w:t>
            </w:r>
          </w:p>
        </w:tc>
      </w:tr>
      <w:tr>
        <w:tblPrEx>
          <w:tblW w:w="5000" w:type="pct"/>
          <w:tblLayout w:type="fixed"/>
          <w:tblCellMar>
            <w:left w:w="108" w:type="dxa"/>
            <w:right w:w="108" w:type="dxa"/>
          </w:tblCellMar>
        </w:tblPrEx>
        <w:tc>
          <w:tcPr>
            <w:tcW w:w="87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E07</w:t>
            </w:r>
          </w:p>
        </w:tc>
        <w:tc>
          <w:tcPr>
            <w:tcW w:w="921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t>Choroby tarczycy, inne</w:t>
            </w:r>
          </w:p>
        </w:tc>
      </w:tr>
    </w:tbl>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*Dopuszczalne jest sprawozdawanie poszczególnych rozpoznań z rozszerzeniami większymi niż 3-znakowe.</w:t>
      </w:r>
    </w:p>
    <w:sectPr>
      <w:endnotePr>
        <w:numFmt w:val="decimal"/>
      </w:endnotePr>
      <w:type w:val="nextPage"/>
      <w:pgSz w:w="11906" w:h="16838" w:code="0"/>
      <w:pgMar w:left="1020" w:right="1020" w:top="1417" w:bottom="992"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shd w:val="clear" w:color="auto" w:fill="auto"/>
        <w:vertAlign w:val="baseline"/>
        <w:lang w:val="pl-PL" w:bidi="pl-PL" w:eastAsia="pl-PL"/>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jc w:val="both"/>
    </w:pPr>
    <w:rPr>
      <w:rFonts w:ascii="Times New Roman" w:hAnsi="Times New Roman"/>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category>Akt prawny</cp:category>
  <dc:creator>donata.czekala</dc:creator>
  <dcterms:created xsi:type="dcterms:W3CDTF">2022-06-09T08:14:35Z</dcterms:created>
  <cp:lastModifiedBy>Wieczorek Damian</cp:lastModifiedBy>
  <dcterms:modified xsi:type="dcterms:W3CDTF">2022-06-29T09:58:27Z</dcterms:modified>
  <cp:revision>147</cp:revision>
  <dc:subject>w sprawie warunków zawarcia i realizacji umów o udzielanie świadczeń opieki zdrowotnej w  rodzaju podstawowa opieka zdrowotna</dc:subject>
  <dc:title>Zarządzenie z dnia 8 czerwca 2022 r.</dc:title>
</cp:coreProperties>
</file>