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44" w:rsidRDefault="003C7F7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28 do zarządzenia Nr 69/2023/DGL</w:t>
      </w:r>
      <w:r>
        <w:br/>
        <w:t>Prezesa Narodowego Funduszu Zdrowia</w:t>
      </w:r>
      <w:r>
        <w:br/>
        <w:t>z dnia 21 kwietnia 2023 r.</w:t>
      </w:r>
    </w:p>
    <w:p w:rsidR="00980644" w:rsidRDefault="003C7F79">
      <w:pPr>
        <w:keepNext/>
        <w:spacing w:after="480"/>
        <w:jc w:val="center"/>
      </w:pPr>
      <w:r>
        <w:rPr>
          <w:b/>
        </w:rPr>
        <w:t>Zakres działania zespołu koordynacyjnego odpowiedzialnego za kwalifikację do leczenia chorych z dystrofią mięśniową Duchenne’a spowodowaną mutacją</w:t>
      </w:r>
      <w:r>
        <w:rPr>
          <w:b/>
        </w:rPr>
        <w:t xml:space="preserve"> nonsensowną w genie dystrofiny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3106"/>
        <w:gridCol w:w="6391"/>
      </w:tblGrid>
      <w:tr w:rsidR="00980644">
        <w:trPr>
          <w:trHeight w:val="34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980644">
        <w:trPr>
          <w:trHeight w:val="45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kwalifikacja do leczenia chorych z dystrofią mięśniową Duchenne’a spowodowaną mutacją nonsensowną w genie dystrofiny</w:t>
            </w:r>
          </w:p>
        </w:tc>
      </w:tr>
      <w:tr w:rsidR="00980644">
        <w:trPr>
          <w:trHeight w:val="91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980644">
            <w:pPr>
              <w:jc w:val="left"/>
            </w:pPr>
          </w:p>
          <w:p w:rsidR="00980644" w:rsidRDefault="003C7F79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 xml:space="preserve">zakres świadczenia – programy lekowe objęte </w:t>
            </w:r>
            <w:r>
              <w:rPr>
                <w:sz w:val="20"/>
              </w:rPr>
              <w:t>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Leczenie dystrofii mięśniowej Duchenne’a spowodowanej mutacją nonsensowną w genie dystrofiny</w:t>
            </w:r>
          </w:p>
        </w:tc>
      </w:tr>
      <w:tr w:rsidR="00980644">
        <w:trPr>
          <w:trHeight w:val="68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Dystrofia mięśniowa Duchenne’a – G</w:t>
            </w:r>
            <w:r>
              <w:rPr>
                <w:sz w:val="20"/>
              </w:rPr>
              <w:t>71.0</w:t>
            </w:r>
          </w:p>
        </w:tc>
      </w:tr>
      <w:tr w:rsidR="00980644">
        <w:trPr>
          <w:trHeight w:val="34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980644">
        <w:trPr>
          <w:trHeight w:val="114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980644">
            <w:pPr>
              <w:jc w:val="left"/>
            </w:pPr>
          </w:p>
          <w:p w:rsidR="00980644" w:rsidRDefault="003C7F79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Zespół Koordynacyjny ds. Leczenia Chorych z dystrofią mięśniową Duchenne’a spowodowaną mutacją nonsensowną w genie dystrofiny</w:t>
            </w:r>
          </w:p>
        </w:tc>
      </w:tr>
      <w:tr w:rsidR="00980644">
        <w:trPr>
          <w:trHeight w:val="103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Uniwersyteckie Centrum Kliniczne Warszawskiego Uniwersytetu Medycznego</w:t>
            </w:r>
          </w:p>
          <w:p w:rsidR="00980644" w:rsidRDefault="003C7F79">
            <w:pPr>
              <w:jc w:val="left"/>
            </w:pPr>
            <w:r>
              <w:rPr>
                <w:sz w:val="20"/>
              </w:rPr>
              <w:t>02-097 Warszawa</w:t>
            </w:r>
          </w:p>
          <w:p w:rsidR="00980644" w:rsidRDefault="003C7F79">
            <w:pPr>
              <w:jc w:val="left"/>
            </w:pPr>
            <w:r>
              <w:rPr>
                <w:sz w:val="20"/>
              </w:rPr>
              <w:t>ul. Banacha 1A</w:t>
            </w:r>
          </w:p>
        </w:tc>
      </w:tr>
      <w:tr w:rsidR="00980644">
        <w:trPr>
          <w:trHeight w:val="68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lekarze specjaliści w dziedzinie neurologii, neurolo</w:t>
            </w:r>
            <w:r>
              <w:rPr>
                <w:sz w:val="20"/>
              </w:rPr>
              <w:t>gii dziecięcej i genetyki klinicznej</w:t>
            </w:r>
          </w:p>
        </w:tc>
      </w:tr>
      <w:tr w:rsidR="00980644">
        <w:trPr>
          <w:trHeight w:val="104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980644" w:rsidRDefault="003C7F79">
            <w:pPr>
              <w:jc w:val="left"/>
            </w:pPr>
            <w:r>
              <w:rPr>
                <w:sz w:val="20"/>
              </w:rPr>
              <w:t xml:space="preserve">2) kwalifikacja do leczenia dokonywana jest w oparciu o wnioski przedłożone za </w:t>
            </w:r>
            <w:r>
              <w:rPr>
                <w:sz w:val="20"/>
              </w:rPr>
              <w:t>pośrednictwem elektronicznego systemu monitorowania programów lekowych.</w:t>
            </w:r>
          </w:p>
        </w:tc>
      </w:tr>
      <w:tr w:rsidR="00980644">
        <w:trPr>
          <w:trHeight w:val="114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44" w:rsidRDefault="003C7F79">
            <w:pPr>
              <w:jc w:val="left"/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 w:rsidR="00980644" w:rsidRDefault="00980644"/>
    <w:sectPr w:rsidR="0098064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644"/>
    <w:rsid w:val="003C7F79"/>
    <w:rsid w:val="0098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43C2A0F-BBCF-4129-8E8A-B77905AF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1512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2023-04-24T06:50:00Z</dcterms:created>
  <dcterms:modified xsi:type="dcterms:W3CDTF">2023-04-24T06:50:00Z</dcterms:modified>
  <cp:category>Akt prawny</cp:category>
</cp:coreProperties>
</file>