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B67" w:rsidRDefault="00E0547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21 do zarządzenia Nr 69/2023/DGL</w:t>
      </w:r>
      <w:r>
        <w:br/>
        <w:t>Prezesa Narodowego Funduszu Zdrowia</w:t>
      </w:r>
      <w:r>
        <w:br/>
        <w:t>z dnia 21 kwietnia 2023 r.</w:t>
      </w:r>
    </w:p>
    <w:p w:rsidR="009F6B67" w:rsidRDefault="00E0547C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pacjentów z nerwiakiem zarodkowym współczulnym oraz </w:t>
      </w:r>
      <w:r>
        <w:rPr>
          <w:b/>
        </w:rPr>
        <w:t>weryfikację jego efektów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2806"/>
        <w:gridCol w:w="6661"/>
      </w:tblGrid>
      <w:tr w:rsidR="009F6B67">
        <w:trPr>
          <w:trHeight w:val="26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9F6B67">
        <w:trPr>
          <w:trHeight w:val="45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kwalifikacja do leczenia pacjentów z nerwiakiem zarodkowym współczulnym oraz weryfikacja jego efektów</w:t>
            </w:r>
          </w:p>
        </w:tc>
      </w:tr>
      <w:tr w:rsidR="009F6B67">
        <w:trPr>
          <w:trHeight w:val="45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</w:t>
            </w:r>
            <w:r>
              <w:rPr>
                <w:sz w:val="20"/>
              </w:rPr>
              <w:t>weryfikacją leczenia przez zespół koordynacyjny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Leczenie dinutuksymabem beta pacjentów z nerwiakiem zarodkowym współczulnym (ICD-10 C47)</w:t>
            </w:r>
          </w:p>
        </w:tc>
      </w:tr>
      <w:tr w:rsidR="009F6B67">
        <w:trPr>
          <w:trHeight w:val="594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C47 – układ nerwowy wegetatywny, umiejscowienie nieok</w:t>
            </w:r>
            <w:r>
              <w:rPr>
                <w:sz w:val="20"/>
              </w:rPr>
              <w:t>reślone</w:t>
            </w:r>
          </w:p>
        </w:tc>
      </w:tr>
      <w:tr w:rsidR="009F6B67">
        <w:trPr>
          <w:trHeight w:val="31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9F6B67">
        <w:trPr>
          <w:trHeight w:val="31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Zespół Koordynacyjny ds. leczenia dinutuksymabem beta pacjentów z nerwiakiem zarodkowym współczulnym</w:t>
            </w:r>
          </w:p>
        </w:tc>
      </w:tr>
      <w:tr w:rsidR="009F6B67">
        <w:trPr>
          <w:trHeight w:val="31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Instytut Matki i Dziecka</w:t>
            </w:r>
          </w:p>
          <w:p w:rsidR="009F6B67" w:rsidRDefault="00E0547C">
            <w:pPr>
              <w:jc w:val="left"/>
            </w:pPr>
            <w:r>
              <w:rPr>
                <w:sz w:val="20"/>
              </w:rPr>
              <w:t>01-211 Warszawa</w:t>
            </w:r>
          </w:p>
          <w:p w:rsidR="009F6B67" w:rsidRDefault="00E0547C"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 w:rsidR="009F6B67">
        <w:trPr>
          <w:trHeight w:val="31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lekarze specjaliści w dziedzinie onkologii i hematologii dziecięcej</w:t>
            </w:r>
          </w:p>
        </w:tc>
      </w:tr>
      <w:tr w:rsidR="009F6B67">
        <w:trPr>
          <w:trHeight w:val="85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zasady kwalifikacji chorych</w:t>
            </w:r>
            <w:r>
              <w:rPr>
                <w:sz w:val="20"/>
              </w:rPr>
              <w:t xml:space="preserve"> wymagających udzielenia świadczenia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9F6B67" w:rsidRDefault="00E0547C">
            <w:pPr>
              <w:jc w:val="left"/>
            </w:pPr>
            <w:r>
              <w:rPr>
                <w:sz w:val="20"/>
              </w:rPr>
              <w:t xml:space="preserve">2) kwalifikacja lub weryfikacja skuteczności leczenia dokonywana jest w oparciu o wnioski przedłożone za pośrednictwem elektronicznego systemu </w:t>
            </w:r>
            <w:r>
              <w:rPr>
                <w:sz w:val="20"/>
              </w:rPr>
              <w:t>monitorowania programów lekowych.</w:t>
            </w:r>
          </w:p>
        </w:tc>
      </w:tr>
      <w:tr w:rsidR="009F6B67">
        <w:trPr>
          <w:trHeight w:val="97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67" w:rsidRDefault="00E0547C">
            <w:pPr>
              <w:jc w:val="left"/>
            </w:pPr>
            <w:r>
              <w:rPr>
                <w:sz w:val="20"/>
              </w:rPr>
              <w:t>89.00 – badanie i porada lekarska, konsultacja.</w:t>
            </w:r>
          </w:p>
        </w:tc>
      </w:tr>
    </w:tbl>
    <w:p w:rsidR="009F6B67" w:rsidRDefault="009F6B67"/>
    <w:sectPr w:rsidR="009F6B6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B67"/>
    <w:rsid w:val="009F6B67"/>
    <w:rsid w:val="00E0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FD6FE2D-95E9-42D3-90E5-E21B91630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1460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2023-04-24T06:45:00Z</dcterms:created>
  <dcterms:modified xsi:type="dcterms:W3CDTF">2023-04-24T06:45:00Z</dcterms:modified>
  <cp:category>Akt prawny</cp:category>
</cp:coreProperties>
</file>