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AD2" w:rsidRDefault="0049450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12 do zarządzenia Nr 69/2023/DGL</w:t>
      </w:r>
      <w:r>
        <w:br/>
        <w:t>Prezesa Narodowego Funduszu Zdrowia</w:t>
      </w:r>
      <w:r>
        <w:br/>
        <w:t>z dnia 21 kwietnia 2023 r.</w:t>
      </w:r>
    </w:p>
    <w:p w:rsidR="009B4AD2" w:rsidRDefault="00494504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aktywnej postaci ziarniniakowatości z zapaleniem naczyń </w:t>
      </w:r>
      <w:r>
        <w:rPr>
          <w:b/>
        </w:rPr>
        <w:t>(GPA) lub mikroskopowego zapalenia naczyń (MPA) oraz 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286"/>
        <w:gridCol w:w="6226"/>
      </w:tblGrid>
      <w:tr w:rsidR="009B4AD2">
        <w:trPr>
          <w:trHeight w:val="1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9B4AD2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kwalifikacja do leczenia aktywnej postaci ziarniniakowatości z zapaleniem naczyń (GPA) lub mikroskopowego zapalenia n</w:t>
            </w:r>
            <w:r>
              <w:rPr>
                <w:sz w:val="20"/>
              </w:rPr>
              <w:t>aczyń (MPA) oraz weryfikacja jego skuteczności</w:t>
            </w:r>
          </w:p>
        </w:tc>
      </w:tr>
      <w:tr w:rsidR="009B4AD2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 xml:space="preserve">Leczenie chorych na aktywną postać ziarniniakowatości z zapaleniem naczyń (GPA) lub mikroskopowe </w:t>
            </w:r>
            <w:r>
              <w:rPr>
                <w:sz w:val="20"/>
              </w:rPr>
              <w:t>zapalenie naczyń (MPA)</w:t>
            </w:r>
          </w:p>
        </w:tc>
      </w:tr>
      <w:tr w:rsidR="009B4AD2">
        <w:trPr>
          <w:trHeight w:val="43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t xml:space="preserve">1) </w:t>
            </w:r>
            <w:r>
              <w:rPr>
                <w:sz w:val="20"/>
              </w:rPr>
              <w:t>M31.3 - Ziarniniakowatość Wegenera;</w:t>
            </w:r>
          </w:p>
          <w:p w:rsidR="009B4AD2" w:rsidRDefault="00494504">
            <w:pPr>
              <w:jc w:val="left"/>
            </w:pPr>
            <w:r>
              <w:t xml:space="preserve">2) </w:t>
            </w:r>
            <w:r>
              <w:rPr>
                <w:sz w:val="20"/>
              </w:rPr>
              <w:t>M31.8 - Inne określone martwicze choroby naczyń krwionośnych</w:t>
            </w:r>
          </w:p>
        </w:tc>
      </w:tr>
      <w:tr w:rsidR="009B4AD2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9B4AD2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 xml:space="preserve">oznaczenie zespołu koordynacyjnego odpowiadającego za kwalifikację i weryfikację leczenia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Zespół Koordynacyjny ds. leczenia ziarniniakowatości z zapaleniem naczyń (GPA) lub mikroskopowego zapalenia naczyń (MPA)</w:t>
            </w:r>
          </w:p>
        </w:tc>
      </w:tr>
      <w:tr w:rsidR="009B4AD2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Wojskowy Instytu</w:t>
            </w:r>
            <w:r>
              <w:rPr>
                <w:sz w:val="20"/>
              </w:rPr>
              <w:t>t Medyczny Państwowy Instytut Badawczy</w:t>
            </w:r>
          </w:p>
          <w:p w:rsidR="009B4AD2" w:rsidRDefault="00494504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9B4AD2" w:rsidRDefault="00494504"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 w:rsidR="009B4AD2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lekarze specjaliści w dziedzinie reumatologii lub nefrologii, lub chorób płuc, lub immunologii klinicznej, lub</w:t>
            </w:r>
            <w:r>
              <w:rPr>
                <w:sz w:val="20"/>
              </w:rPr>
              <w:t xml:space="preserve"> chorób wewnętrznych</w:t>
            </w:r>
          </w:p>
        </w:tc>
      </w:tr>
      <w:tr w:rsidR="009B4AD2">
        <w:trPr>
          <w:trHeight w:val="113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9B4AD2" w:rsidRDefault="00494504"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</w:t>
            </w:r>
            <w:r>
              <w:rPr>
                <w:sz w:val="20"/>
              </w:rPr>
              <w:t>przedłożone za pośrednictwem elektronicznego systemu monitorowania programów lekowych.</w:t>
            </w:r>
          </w:p>
        </w:tc>
      </w:tr>
      <w:tr w:rsidR="009B4AD2">
        <w:trPr>
          <w:trHeight w:val="55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D2" w:rsidRDefault="00494504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9B4AD2" w:rsidRDefault="009B4AD2"/>
    <w:sectPr w:rsidR="009B4AD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D2"/>
    <w:rsid w:val="00494504"/>
    <w:rsid w:val="009B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D77D458-BAAC-436A-ABC5-5F5525F5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1722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2023-04-24T06:41:00Z</dcterms:created>
  <dcterms:modified xsi:type="dcterms:W3CDTF">2023-04-24T06:41:00Z</dcterms:modified>
  <cp:category>Akt prawny</cp:category>
</cp:coreProperties>
</file>