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352" w:rsidRDefault="008D251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69/2023/DGL</w:t>
      </w:r>
      <w:r>
        <w:br/>
        <w:t>Prezesa Narodowego Funduszu Zdrowia</w:t>
      </w:r>
      <w:r>
        <w:br/>
        <w:t>z dnia 21 kwietnia 2023 r.</w:t>
      </w:r>
    </w:p>
    <w:p w:rsidR="00246352" w:rsidRDefault="008D251A">
      <w:pPr>
        <w:keepNext/>
        <w:spacing w:after="480"/>
        <w:jc w:val="center"/>
      </w:pPr>
      <w:r>
        <w:rPr>
          <w:b/>
        </w:rPr>
        <w:t>Katalog świadczeń i zakresów – leczenie szpitalne – programy lekowe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1289"/>
        <w:gridCol w:w="2039"/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335"/>
        <w:gridCol w:w="1365"/>
        <w:gridCol w:w="1290"/>
        <w:gridCol w:w="1290"/>
        <w:gridCol w:w="1305"/>
        <w:gridCol w:w="1305"/>
      </w:tblGrid>
      <w:tr w:rsidR="00246352">
        <w:trPr>
          <w:trHeight w:val="420"/>
        </w:trPr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kod</w:t>
            </w:r>
            <w:r>
              <w:rPr>
                <w:sz w:val="18"/>
              </w:rPr>
              <w:br/>
              <w:t>świadczenia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5.08.07.0000030</w:t>
            </w:r>
          </w:p>
        </w:tc>
      </w:tr>
      <w:tr w:rsidR="00246352">
        <w:trPr>
          <w:trHeight w:val="2535"/>
        </w:trPr>
        <w:tc>
          <w:tcPr>
            <w:tcW w:w="378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</w:t>
            </w:r>
            <w:r>
              <w:rPr>
                <w:sz w:val="18"/>
              </w:rPr>
              <w:t>wykonaniem programu u dzieci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podaniem nusinersenu w </w:t>
            </w:r>
            <w:r>
              <w:rPr>
                <w:sz w:val="18"/>
              </w:rPr>
              <w:t>znieczuleniu ogólnym lub pod kontrolą tomografii komputerowej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</w:t>
            </w:r>
            <w:r>
              <w:rPr>
                <w:sz w:val="18"/>
              </w:rPr>
              <w:t>cjenta połączone z podaniem dichlorku radu Ra-223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</w:t>
            </w:r>
            <w:r>
              <w:rPr>
                <w:sz w:val="18"/>
              </w:rPr>
              <w:t>jęcie pacjenta w trybie ambulatoryjnym związane z podaniem toksyny botulinowej typu A pod kontrolą elektromiografii, stymulacji elektrycznej mięśnia i/lub ultrasonografii w leczeniu spastyczności kończyny górnej i/lub dolnej po udarze mózgu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</w:t>
            </w:r>
            <w:r>
              <w:rPr>
                <w:sz w:val="18"/>
              </w:rPr>
              <w:t>nta w trybie ambulatoryjnym połączone z podaniem toksyny botulinowej typu A w leczeniu migreny przewlekłej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połączone z podaniem Lutetium (177Lu) oxodotreotidi</w:t>
            </w:r>
          </w:p>
        </w:tc>
      </w:tr>
      <w:tr w:rsidR="00246352">
        <w:trPr>
          <w:trHeight w:val="1155"/>
        </w:trPr>
        <w:tc>
          <w:tcPr>
            <w:tcW w:w="378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600,00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koszt świadczenia zawarty w wycenie koncentratu czynnika krzepnięcia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745,79</w:t>
            </w:r>
          </w:p>
        </w:tc>
      </w:tr>
      <w:tr w:rsidR="00246352">
        <w:trPr>
          <w:trHeight w:val="435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</w:t>
            </w: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03.0000.303.02 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nowotworów podścieliska przewodu pokarmowego  (GIST)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zaawansowanego raka jelita grubego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raka </w:t>
            </w:r>
            <w:r>
              <w:rPr>
                <w:sz w:val="18"/>
              </w:rPr>
              <w:t>wątrobowokomórkowego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płuca oraz międzybłoniaka opłucnej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mięsaków tkanek miękkich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chłoniaki B-komórkowe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przedwczesnego dojrzewania płciowego u dzieci  </w:t>
            </w:r>
            <w:r>
              <w:rPr>
                <w:sz w:val="18"/>
              </w:rPr>
              <w:t>lub zagrażającej patologicznej niskorosłości na skutek szybko postępującego dojrzewania płciowego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somatotropinową niedoczynnością  przysadki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ciężkich wrodzonych hiperhomocysteinemii 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choroby Pompego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choroby Gauchera  typu I oraz typu III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mukopolisacharydozy typu II (zespół Huntera)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stwardnienie </w:t>
            </w:r>
            <w:r>
              <w:rPr>
                <w:sz w:val="18"/>
              </w:rPr>
              <w:t>rozsiane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spastyczności w mózgowym porażeniu dziecięcym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chorobą </w:t>
            </w:r>
            <w:r>
              <w:rPr>
                <w:sz w:val="18"/>
              </w:rPr>
              <w:t>Leśniowskiego-Crohna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aktywną postacią </w:t>
            </w:r>
            <w:r>
              <w:rPr>
                <w:sz w:val="18"/>
              </w:rPr>
              <w:t>łuszczycowego zapalenia stawów (ŁZS)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niedokrwistości w przebiegu przewlekłej </w:t>
            </w:r>
            <w:r>
              <w:rPr>
                <w:sz w:val="18"/>
              </w:rPr>
              <w:t>niewydolności nerek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raka jajnika, raka jajowodu </w:t>
            </w:r>
            <w:r>
              <w:rPr>
                <w:sz w:val="18"/>
              </w:rPr>
              <w:t>lub raka otrzewnej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płaskonabłonkowego raka narządów głowy i szyi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03.0000.353.02 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wysoko zróżnicowanego nowotworu neuroendokrynnego trzustki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spastyczności kończyny górnej i/lub dolnej  po udarze mózgu z użyciem toksyny botulinowej typu A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zaawansowanego raka przełyku i żołądka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cystynozę nefropatyczną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chłoniaki T-komórkowe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neurogennej nadreaktywności wypieracza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przewlekłego </w:t>
            </w:r>
            <w:r>
              <w:rPr>
                <w:sz w:val="18"/>
              </w:rPr>
              <w:t>zakrzepowo-zatorowego nadciśnienia płucnego (CTEPH)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tyrozynemii typu 1 (HT-1)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klasycznego chłoniaka Hodgkina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mielofibrozy pierwotnej oraz mielofibrozy wtórnej w przebiegu czerwienicy prawdziwej i nadpłytkowości samoistnej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aktywną postacią spondyloartropatii (SpA) bez zmian radiograficznych </w:t>
            </w:r>
            <w:r>
              <w:rPr>
                <w:sz w:val="18"/>
              </w:rPr>
              <w:t>charakterystycznych dla ZZSK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wrodzonymi zespołami autozapalnymi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idiopatycznego włóknienia płuc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zaawansowanego raka podstawnokomórkowego skóry wismodegibem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6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ewerolimusem chorych na stwardnienie guzowate z </w:t>
            </w:r>
            <w:r>
              <w:rPr>
                <w:sz w:val="18"/>
              </w:rPr>
              <w:t>niekwalifikującymi się do leczenia operacyjnego guzami podwyściółkowymi olbrzymiokomórkowymi (SEGA)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atypowego zespołu hemolityczno-mocznicowego (aHUS)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nocnej napadowej hemoglobinurii (PNH)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zapalenia błony naczyniowej oka (ZBN) - część pośrednia, odcinek </w:t>
            </w:r>
            <w:r>
              <w:rPr>
                <w:sz w:val="18"/>
              </w:rPr>
              <w:t>tylny lub cała błona naczyniowa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6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agresywnego i objawowego, nieoperacyjnego, miejscowo zaawansowanego lub przerzutowego raka rdzeniastego tarczycy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pacjentów z chorobami nerek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agresywnej mastocytozy układowej, mastocytozy układowej z współistniejącym nowotworem układu </w:t>
            </w:r>
            <w:r>
              <w:rPr>
                <w:sz w:val="18"/>
              </w:rPr>
              <w:t>krwiotwórczego oraz białaczki mastocytarnej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202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>postępującym, miejscowo zaawansowanym lub z przerzutami, zróżnicowanym (brodawkowatym/ pęcherzykowym/oksyfilnym - z komórek Hürthle’a) rakiem tarczycy, opornym na leczenie jodem radioaktywnym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amifamprydyną </w:t>
            </w:r>
            <w:r>
              <w:rPr>
                <w:sz w:val="18"/>
              </w:rPr>
              <w:t>pacjentów z zespołem miastenicznym Lamberta-Eatona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pacjentów z chorobą Wilsona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ciężką postacią atopowego zapalenia skóry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zaawansowanego raka kolczystokomórkowego skóry cemiplimabem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dorosłych chorych na ciężką anemię aplastyczną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</w:t>
            </w:r>
            <w:r>
              <w:rPr>
                <w:sz w:val="18"/>
              </w:rPr>
              <w:t>na ostrą porfirię wątrobową (AHP) u dorosłych i młodzieży w wieku od 12 lat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dystrofią mięśniową Duchenne’a </w:t>
            </w:r>
            <w:r>
              <w:rPr>
                <w:sz w:val="18"/>
              </w:rPr>
              <w:t>spowodowaną mutacją nonsensowną w genie dystrofiny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24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Stosowanie letermowiru w celu zapobiegania reaktywacji </w:t>
            </w:r>
            <w:r>
              <w:rPr>
                <w:sz w:val="18"/>
              </w:rPr>
              <w:t>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Profilaktyczne leczenie </w:t>
            </w:r>
            <w:r>
              <w:rPr>
                <w:sz w:val="18"/>
              </w:rPr>
              <w:t>chorych na migrenę przewlekłą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6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nintedanibem choroby śródmiąższowej płuc związanej z twardziną układową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Odczulanie wysoko immunizowanych dorosłych potencjalnych </w:t>
            </w:r>
            <w:r>
              <w:rPr>
                <w:sz w:val="18"/>
              </w:rPr>
              <w:t>biorców przeszczepu nerki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28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nowotworami neuroendokrynnymi układu </w:t>
            </w:r>
            <w:r>
              <w:rPr>
                <w:sz w:val="18"/>
              </w:rPr>
              <w:t>pokarmowego z zastosowaniem radiofarmaceutyków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rakiem urotelialnym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2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03.0000.443.02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kwasem kargluminowym chorych z acyduriami organicznymi: propionową, metylomalonową i </w:t>
            </w:r>
            <w:r>
              <w:rPr>
                <w:sz w:val="18"/>
              </w:rPr>
              <w:t>izowalerianową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1139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03.0000.444.02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guzami litymi z fuzją genu receptorowej kinazy tyrozynowej dla neurotrofin (NTRK)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246352">
            <w:pPr>
              <w:jc w:val="center"/>
              <w:rPr>
                <w:color w:val="000000"/>
                <w:u w:color="000000"/>
              </w:rPr>
            </w:pPr>
          </w:p>
        </w:tc>
      </w:tr>
      <w:tr w:rsidR="00246352">
        <w:trPr>
          <w:trHeight w:val="2272"/>
        </w:trPr>
        <w:tc>
          <w:tcPr>
            <w:tcW w:w="37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 xml:space="preserve">- nie można łączyć ze świadczeniami rozliczanymi w zał. </w:t>
            </w:r>
            <w:r>
              <w:rPr>
                <w:color w:val="000000"/>
                <w:sz w:val="18"/>
                <w:u w:color="000000"/>
              </w:rPr>
              <w:t>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</w:t>
            </w:r>
            <w:r>
              <w:rPr>
                <w:color w:val="000000"/>
                <w:sz w:val="18"/>
                <w:u w:color="000000"/>
              </w:rPr>
              <w:t>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nie można łączyć </w:t>
            </w:r>
            <w:r>
              <w:rPr>
                <w:sz w:val="18"/>
              </w:rPr>
              <w:t>ze świadczeniami rozliczanymi w zał. nr 1a, 1b, 1e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rozliczane raz na 3 miesiące (-14 dni) u pacjentów, u których po kompleksowej ocenie stanu zdrowia możliwe jest wyznaczenie kolejnego terminu wizyty za 3 m-ce;</w:t>
            </w:r>
            <w:r>
              <w:rPr>
                <w:color w:val="000000"/>
                <w:sz w:val="18"/>
                <w:u w:color="000000"/>
              </w:rPr>
              <w:br/>
              <w:t>- w okresie 3 miesięcy (-14 dni) od daty sp</w:t>
            </w:r>
            <w:r>
              <w:rPr>
                <w:color w:val="000000"/>
                <w:sz w:val="18"/>
                <w:u w:color="000000"/>
              </w:rPr>
              <w:t>rawozdania świadczenia o kodzie 5.08.07.0000026 nie dopuszcza się możliwości rozliczenia świadczenia o kodzie 5.08.07.0000001, 5.08.07.0000002, 5.08.07.0000003, 5.08.07.0000004;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nie mo</w:t>
            </w:r>
            <w:r>
              <w:rPr>
                <w:color w:val="000000"/>
                <w:sz w:val="18"/>
                <w:u w:color="000000"/>
              </w:rPr>
              <w:t>żna łączyć ze świadczeniami rozliczanymi w zał. nr 1a, 1b, 1e;</w:t>
            </w:r>
            <w:r>
              <w:rPr>
                <w:color w:val="000000"/>
                <w:sz w:val="18"/>
                <w:u w:color="000000"/>
              </w:rPr>
              <w:br/>
              <w:t>- w przypadku realizacji zakresu o kodzie 03.0000.312.02 oraz 03.0000.365.02 dotyczy tylko kwalifikacji do leczenia tisagenlecleucelem albo aksykabtagenem cyloleucelu przez zespół koordynacyjny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 można łączyć ze świadczeniami z</w:t>
            </w:r>
            <w:r>
              <w:rPr>
                <w:i/>
                <w:sz w:val="18"/>
              </w:rPr>
              <w:t xml:space="preserve"> Katalogu leków refundowanych stosowanych w programach lekowych </w:t>
            </w:r>
            <w:r>
              <w:rPr>
                <w:sz w:val="18"/>
              </w:rPr>
              <w:t>w zakresie koncentratów czynników krzepnięcia</w:t>
            </w:r>
          </w:p>
          <w:p w:rsidR="00246352" w:rsidRDefault="008D251A">
            <w:pPr>
              <w:jc w:val="center"/>
            </w:pPr>
            <w:r>
              <w:rPr>
                <w:sz w:val="18"/>
              </w:rPr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nie można łączyć ze świadczeniami rozlicza</w:t>
            </w:r>
            <w:r>
              <w:rPr>
                <w:color w:val="000000"/>
                <w:sz w:val="18"/>
                <w:u w:color="000000"/>
              </w:rPr>
              <w:t>nymi w zał. nr 1a, 1b, 1e;</w:t>
            </w:r>
            <w:r>
              <w:rPr>
                <w:color w:val="000000"/>
                <w:sz w:val="18"/>
                <w:u w:color="000000"/>
              </w:rPr>
              <w:br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46352" w:rsidRDefault="008D251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nie </w:t>
            </w:r>
            <w:r>
              <w:rPr>
                <w:sz w:val="18"/>
              </w:rPr>
              <w:t>można łączyć ze świadczeniami rozliczanymi w zał. nr 1a, 1b, 1e</w:t>
            </w:r>
          </w:p>
        </w:tc>
      </w:tr>
    </w:tbl>
    <w:p w:rsidR="00246352" w:rsidRDefault="00246352"/>
    <w:sectPr w:rsidR="00246352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352"/>
    <w:rsid w:val="00246352"/>
    <w:rsid w:val="008D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052BD15-680F-4357-9953-13286CA42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2322</Words>
  <Characters>13936</Characters>
  <Application>Microsoft Office Word</Application>
  <DocSecurity>4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2023-04-24T06:11:00Z</dcterms:created>
  <dcterms:modified xsi:type="dcterms:W3CDTF">2023-04-24T06:11:00Z</dcterms:modified>
  <cp:category>Akt prawny</cp:category>
</cp:coreProperties>
</file>