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349F16" Type="http://schemas.openxmlformats.org/officeDocument/2006/relationships/officeDocument" Target="/word/document.xml" /><Relationship Id="coreR7C349F1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32"/>
              </w:rPr>
              <w:t>Katalog świadczeń pielęgnacyjnych i opiekuńczych dla świadczeń gwarantowanych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8"/>
        </w:trPr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23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zakresu świadczeń </w:t>
            </w:r>
          </w:p>
        </w:tc>
        <w:tc>
          <w:tcPr>
            <w:tcW w:w="15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zakresu świadczeń </w:t>
            </w:r>
          </w:p>
        </w:tc>
        <w:tc>
          <w:tcPr>
            <w:tcW w:w="14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 rozliczeniowa zakresu świadczeń</w:t>
            </w:r>
          </w:p>
        </w:tc>
        <w:tc>
          <w:tcPr>
            <w:tcW w:w="4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produktu rozliczeniowego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 rozliczeniowego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Waga punktowa produktu rozliczeniowego 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Taryfa*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4"/>
        </w:trPr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2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3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4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5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6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3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w zakładzie pielęgnacyjno - opiekuńczym / opiekuńczo - leczniczym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14.5160.026.04</w:t>
            </w:r>
          </w:p>
        </w:tc>
        <w:tc>
          <w:tcPr>
            <w:tcW w:w="14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pacjenta z liczbą punktów 0 - 40 w skali Barthel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5.15.00.0000182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4,29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pacjenta z chorobą AIDS lub zakażonych HIV z liczbą punktów 0 - 40 w skali Barthel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5.15.00.0000183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5,46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pacjenta z liczbą punktów 0 - 40 w skali Barthel żywionego dojelitowo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5.15.00.0000184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7,75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pacjenta  z liczbą punktów 0 w skali Barthel, który uzyskał  do 8 pkt wg skali Glasgow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5.15.00.0000185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6,14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pacjenta  z liczbą punktów 0 w skali Barthel, który uzyskał  do 8 pkt wg skali Glasgow i żywionego dojelitowo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5.15.00.0000186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9,60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 ZOL pacjenta z liczbą punktów 0 - 40 w skali Barthel  żywionego pozajelitowo, w tym również nieprzytomnych, którzy uzyskali 0 w skali Barthel i do 8 punktów w skali Glasgow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5.15.00.0000187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13,19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weterana poszkodowanego w Domu Weterana funkcjonującym jako ZOL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5.15.00.0000197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4,29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w zakładzie pielęgnacyjno - opiekuńczym dla dzieci i młodzieży /  opiekuńczo - leczniczym dla dzieci i młodzieży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14.5161.026.04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i młodzieży z liczbą punktów 0 - 40 w skali Barthel 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5.15.00.0000188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7,09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i młodzieży z liczbą punktów 0 - 40 w skali Barthel, żywionych dojelitowo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5.15.00.0000189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10,55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do ukończenia 3 roku życia  lub dzieci i młodzieży z liczbą punktów 0 w skali Barthel, którzy uzyskali do 8 punktów w skali Glasgow 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5.15.00.0000190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9,14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do ukończenia 3 roku życia  lub dzieci i młodzieży z liczbą punktów 0 w skali Barthel, którzy uzyskali do 8 punktów w skali Glasgow, żywionych dojelitowo  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5.15.00.0000191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12,60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i młodzieży z liczbą punktów 0 - 40 w skali Barthel, w tym również nieprzytomnych, którzy uzyskali 0 w skali Barthel i do 8 punktów w skali Glasgow oraz dzieci do ukończenia 3 roku życia, żywionych pozajelitowo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5.15.00.0000192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16,19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w zakładzie pielęgnacyjno - opiekuńczym dla pacjentów wentylowanych mechanicznie / opiekuńczo - leczniczym dla pacjentów wentylowanych mechanicznie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14.5170.029.04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pacjentów wentylowanych mechanicznie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5.15.00.0000165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11,21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pacjentów wentylowanych mechanicznie i żywionych dojelitowo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5.15.00.0000193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14,67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pacjentów wentylowanych mechanicznie i żywionych pozajelitowo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5.15.00.0000194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18,26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w zakładzie pielęgnacyjno - opiekuńczym dla dzieci wentylowanych mechanicznie / opiekuńczo - leczniczym dla dzieci wentylowanych mechanicznie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14.5171.029.04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wentylowanych mechanicznie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5.15.00.0000168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14,44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wentylowanych mechanicznie i żywionych dojelitowo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5.15.00.0000195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17,90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pobytu w ZPO/ZOL dla dzieci wentylowanych mechanicznie i żywionych pozajelitowo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5.15.00.0000196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21,49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zespołu długoterminowej opieki domowej dla pacjentów wentylowanych mechanicznie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14.2140.029.04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pacjentów wentylowanych mechanicznie metodą inwazyjną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5.15.00.0000171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5,41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pacjentów wentylowanych mechanicznie metodą nieinwazyjną w przypadku świadczeniobiorców z przewlekłą niewydolnością oddechową na podłożu chorób nerwowo-mięśniowych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5.15.00.0000172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  zespołu  długoterminowej  opieki  domowej  dla  pacjentów  wentylowanych mechanicznie metodą nieinwazyjną z wyłączeniem świadczeniobiorców z przewlekłą niewydolnością oddechową na podłożu chorób nerwowo-mięśniowych (pow. 16 godzin)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5.15.00.0000173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4,13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pacjentów wentylowanych mechanicznie od 8 do 16 godzin na dobę metodą nieinwazyjną z wyłączeniem świadczeniobiorców z przewlekłą niewydolnością oddechową na podłożu chorób nerwowo-mięśniowych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5.15.00.0000232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3,11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pacjentów wentylowanych mechanicznie poniżej 8 godzin na dobę metodą nieinwazyjną z wyłączeniem świadczeniobiorców z przewlekłą niewydolnością oddechową na podłożu chorób nerwowo-mięśniowych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5.15.00.0000233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1,35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zespołu długoterminowej opieki domowej dla dzieci wentylowanych mechanicznie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14.2141.029.04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dzieci wentylowanych mechanicznie metodą inwazyjną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5.15.00.0000174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5,57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zespołu długoterminowej opieki domowej dla dzieci wentylowanych mechanicznie metodą nieinwazyjną w przypadku dzieci i młodzieży do ukończenia 18. roku życia bez względu na czas trwania nieinwazyjnej wentylacji mechanicznej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5.15.00.0000175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5,08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3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 w pielęgniarskiej opiece długoterminowej domowej 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14.2142.026.04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za świadczenia pielęgniarskie w pielęgniarskiej opiece długoterminowej domowej dla pacjentów przebywających pod różnymi adresami zamieszkania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5.15.00.0000144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punkt</w:t>
            </w:r>
          </w:p>
        </w:tc>
        <w:tc>
          <w:tcPr>
            <w:tcW w:w="4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osobodzień za świadczenia pielęgnacyjne w pielęgniarskiej opiece długoterminowej domowej dla pacjentów przebywających pod tym samym  adresem zamieszkania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5.15.00.0000145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24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* uwzględniona na podstawie:</w:t>
              <w:br w:type="textWrapping"/>
              <w:t>- załącznika do Obwieszczenia Prezesa Agencji Oceny Technologii Medycznych i Taryfikacji z dnia 29 czerwca 2016 r. w sprawie taryf świadczeń gwarantowanych w rodzaju świadczenia pielęgnacyjne i opiekuńcze w ramach opieki długoterminowej,</w:t>
              <w:br w:type="textWrapping"/>
              <w:t>- załącznika do Obwieszczenia Prezesa Agencji Oceny Technologii Medycznych i Taryfikacji z dnia 13 września 2016 r. w sprawie taryf świadczeń gwarantowanych w rodzaju świadczenia pielęgnacyjne i opiekuńcze w ramach opieki długoterminowej,</w:t>
              <w:br w:type="textWrapping"/>
              <w:t xml:space="preserve">- załącznika do Obwieszczenia Prezesa Agencji Oceny Technologii Medycznych i Taryfikacji z dnia 15 marca 2018 r. w sprawie taryf świadczeń gwarantowanych w rodzaju świadczenia pielęgnacyjne i opiekuńcze w ramach opieki długoterminowej, </w:t>
              <w:br w:type="textWrapping"/>
              <w:t>- załącznika do Obwieszczenia Prezesa Agencji Oceny Technologii Medycznych i Taryfikacji z dnia 28 maja 2018 r. w sprawie taryf świadczeń gwarantowanych w rodzaju świadczenia pielęgnacyjne i opiekuńcze w ramach opieki długoterminowej,</w:t>
              <w:br w:type="textWrapping"/>
              <w:t>- załącznika do Obwieszczenia Prezesa Agencji Oceny Technologii Medycznych i Taryfikacji z dnia 27 września 2019 r. w sprawie taryf świadczeń gwarantowanych w rodzaju świadczenia pielęgnacyjne i opiekuńcze w ramach opieki długoterminowej, oraz</w:t>
              <w:br w:type="textWrapping"/>
              <w:t>- załącznika do Obwieszczenia Prezesa Agencji Oceny Technologii Medycznych i Taryfikacji z dnia 11 lutego 2022 r. w sprawie taryf świadczeń gwarantowanych w rodzaju świadczenia pielęgnacyjne i opiekuńcze w ramach opieki długoterminowej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Taryfy zostały ustalone w odniesieniu do świadczenia bazowego, tj. "osobodnia za świadczenia pielęgniarskie w pielęgniarskiej opiece długoterminowej domowej dla pacjentów przebywajacych pod róznymi adresami zamieszkania", któremu przyporządkowano wartość taryfy równą  punkt.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2022-03-29T15:22:13Z</dcterms:created>
  <cp:lastModifiedBy>Kąpińska Katarzyna</cp:lastModifiedBy>
  <dcterms:modified xsi:type="dcterms:W3CDTF">2022-04-25T13:34:40Z</dcterms:modified>
  <cp:revision>77</cp:revision>
  <dc:subject>w sprawie określenia warunków zawierania i realizacji umów w rodzaju świadczenia pielęgnacyjne i opiekuńcze w ramach opieki długoterminowej</dc:subject>
  <dc:title>Zarządzenie</dc:title>
</cp:coreProperties>
</file>