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3F08ECC" Type="http://schemas.openxmlformats.org/officeDocument/2006/relationships/officeDocument" Target="/word/document.xml" /><Relationship Id="coreR63F08ECC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17 do zarządzenia Nr 31/2023/DGL</w:t>
        <w:br w:type="textWrapping"/>
        <w:t>Prezesa Narodowego Funduszu Zdrowia</w:t>
        <w:br w:type="textWrapping"/>
        <w:t>z dnia 10 lutego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atypowego zespołu hemolityczno-mocznicowego (aHUS) oraz weryfikację jego skuteczności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68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5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atypowego zespołu hemolityczno-mocznicowego (aHUS) oraz weryfikacja jego skuteczności,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atypowego zespołu hemolityczno-mocznicowego (aHUS),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7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 59.3 - Zespół hemolityczno-mocznicowy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do Spraw Leczenia Atypowego Zespołu Hemolityczno-mocznicowego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nefrologii dziecięcej lub nefrologii, lub onkologii i hematologii dziecięcej, lub hematologii, lub transplantologii, lub pediatrii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21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lekowego;</w:t>
            </w:r>
          </w:p>
          <w:p>
            <w:pPr>
              <w:jc w:val="left"/>
            </w:pPr>
            <w:r>
              <w:rPr>
                <w:sz w:val="20"/>
              </w:rPr>
              <w:t>2) kwalifikacja i weryfikacja skuteczności leczenia w zakresie atypowego zespołu hemolityczno-mocznicowego (aHUS) dokonywana jest w oparciu o wnioski przedłożone za pośrednictwem elektronicznego systemu monitorowania programów lekowych.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89.00 -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2023-01-26T15:14:24Z</dcterms:created>
  <cp:lastModifiedBy>Popiołek Tomasz</cp:lastModifiedBy>
  <dcterms:modified xsi:type="dcterms:W3CDTF">2023-02-10T11:35:45Z</dcterms:modified>
  <cp:revision>80</cp:revision>
  <dc:subject>w sprawie określenia warunków zawierania i realizacji umów w rodzaju leczenie szpitalne w zakresie programy lekowe</dc:subject>
  <dc:title>Zarządzenie Nr ..../2023/DGL</dc:title>
</cp:coreProperties>
</file>