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20B31B6" Type="http://schemas.openxmlformats.org/officeDocument/2006/relationships/officeDocument" Target="/word/document.xml" /><Relationship Id="coreR620B31B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9 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biologicznego w chorobach reumatycznych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7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9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biologicznego w chorobach reumatycznych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69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Leczenie chorych z aktywną postacią reumatoidalnego zapalenia stawów i młodzieńczego idiopatycznego zapalenia stawów;</w:t>
            </w:r>
          </w:p>
          <w:p>
            <w:pPr>
              <w:jc w:val="left"/>
            </w:pPr>
            <w:r>
              <w:rPr>
                <w:sz w:val="20"/>
              </w:rPr>
              <w:t>2) Leczenie chorych z aktywną postacią łuszczycowego zapalenia stawów (ŁZS);</w:t>
            </w:r>
          </w:p>
          <w:p>
            <w:pPr>
              <w:jc w:val="left"/>
            </w:pPr>
            <w:r>
              <w:rPr>
                <w:sz w:val="20"/>
              </w:rPr>
              <w:t>3) Leczenie chorych z aktywną postacią zesztywniającego zapalenia stawów kręgosłupa (ZZSK);</w:t>
            </w:r>
          </w:p>
          <w:p>
            <w:pPr>
              <w:jc w:val="left"/>
            </w:pPr>
            <w:r>
              <w:rPr>
                <w:sz w:val="20"/>
              </w:rPr>
              <w:t>4) Leczenie pacjentów z aktywną postacią spondyloartropatii (SpA) bez zmian radiograficznych charakterystycznych dla ZZSK;</w:t>
            </w:r>
          </w:p>
          <w:p>
            <w:pPr>
              <w:jc w:val="left"/>
            </w:pPr>
            <w:r>
              <w:rPr>
                <w:sz w:val="20"/>
              </w:rPr>
              <w:t>5) Leczenie nintedanibem choroby śródmiąższowej płuc związanej z twardziną układową.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69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M 05 reumatoidalne zapalenie stawów (RZS);</w:t>
            </w:r>
          </w:p>
          <w:p>
            <w:pPr>
              <w:jc w:val="left"/>
            </w:pPr>
            <w:r>
              <w:rPr>
                <w:sz w:val="20"/>
              </w:rPr>
              <w:t>2) M 06 seronegatywne reumatoidalne zapalenie stawów;</w:t>
            </w:r>
          </w:p>
          <w:p>
            <w:pPr>
              <w:jc w:val="left"/>
            </w:pPr>
            <w:r>
              <w:rPr>
                <w:sz w:val="20"/>
              </w:rPr>
              <w:t>3) M 08 młodzieńcze idiopatyczne zapalenie stawów (MIZS);</w:t>
            </w:r>
          </w:p>
          <w:p>
            <w:pPr>
              <w:jc w:val="left"/>
            </w:pPr>
            <w:r>
              <w:rPr>
                <w:sz w:val="20"/>
              </w:rPr>
              <w:t>4) M 45 zesztywniające zapalenie stawów kręgosłupa;</w:t>
            </w:r>
          </w:p>
          <w:p>
            <w:pPr>
              <w:jc w:val="left"/>
            </w:pPr>
            <w:r>
              <w:rPr>
                <w:sz w:val="20"/>
              </w:rPr>
              <w:t>5) L 40.5 łuszczyca stawowa;</w:t>
            </w:r>
          </w:p>
          <w:p>
            <w:pPr>
              <w:jc w:val="left"/>
            </w:pPr>
            <w:r>
              <w:rPr>
                <w:sz w:val="20"/>
              </w:rPr>
              <w:t>6) M 07.1 okaleczające zapalenie stawów;</w:t>
            </w:r>
          </w:p>
          <w:p>
            <w:pPr>
              <w:jc w:val="left"/>
            </w:pPr>
            <w:r>
              <w:rPr>
                <w:sz w:val="20"/>
              </w:rPr>
              <w:t>7) M 07.2 łuszczycowa spondyloartropatia;</w:t>
            </w:r>
          </w:p>
          <w:p>
            <w:pPr>
              <w:jc w:val="left"/>
            </w:pPr>
            <w:r>
              <w:rPr>
                <w:sz w:val="20"/>
              </w:rPr>
              <w:t>8) M 07.3 artropatia towarzysząca chorobie Crohna;</w:t>
            </w:r>
          </w:p>
          <w:p>
            <w:pPr>
              <w:jc w:val="left"/>
            </w:pPr>
            <w:r>
              <w:rPr>
                <w:sz w:val="20"/>
              </w:rPr>
              <w:t>9) M 46.8 Inne określone zapalne choroby kręgosłupa;</w:t>
            </w:r>
          </w:p>
          <w:p>
            <w:pPr>
              <w:jc w:val="left"/>
            </w:pPr>
            <w:r>
              <w:rPr>
                <w:sz w:val="20"/>
              </w:rPr>
              <w:t>10) M 34 twardzina układowa;</w:t>
            </w:r>
          </w:p>
          <w:p>
            <w:pPr>
              <w:jc w:val="left"/>
            </w:pPr>
            <w:r>
              <w:rPr>
                <w:sz w:val="20"/>
              </w:rPr>
              <w:t>11) J 99.1 zaburzenia układu oddechowego w innych układowych chorobach tkanki łącznej.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biologicznego w chorobach reumatycznych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reumatologii lub dermatologii i wenerologii lub chorób płuc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6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opisach programów lekowych wymienionych w pkt 1.2 z zastrzeżeniem możliwości uzyskania indywidualnej zgody Zespołu w określonych przypadkach;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2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2. Wzór wniosku o kwalifikację do leczenia w programie Leczenie nintedanibem choroby śródmiąższowej płuc związanej z twardziną układową (ICD-10: M34, J.99.1)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Imię i nazwisko pacjenta:……………………………………………………....……………..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PESEL:………………………………………………………...……..…………………………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Świadczeniodawca:…………………………………………………………………………………….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…………………………………………………………………………………………...............................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Dane kontaktowe osoby składającej wniosek: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imię i nazwisko..................................................................................................................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telefon i adres email:........................................................................................................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Opis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......…………………………………….....................................................................................................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................................................................................................................................................................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................................................................................................................................................................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................................................................................................................................................................</w:t>
      </w:r>
    </w:p>
    <w:p>
      <w:pPr>
        <w:spacing w:before="120" w:after="120" w:beforeAutospacing="0" w:afterAutospacing="0"/>
        <w:ind w:firstLine="227"/>
        <w:jc w:val="center"/>
      </w:pPr>
      <w:r>
        <w:t>......…………………………………….....................................................................................................</w:t>
      </w:r>
    </w:p>
    <w:p>
      <w:pPr>
        <w:spacing w:before="120" w:after="120" w:beforeAutospacing="0" w:afterAutospacing="0"/>
        <w:ind w:firstLine="227"/>
        <w:jc w:val="center"/>
      </w:pPr>
      <w:r>
        <w:t>................................................................................................................................................................</w:t>
      </w:r>
    </w:p>
    <w:p>
      <w:pPr>
        <w:spacing w:before="120" w:after="120" w:beforeAutospacing="0" w:afterAutospacing="0"/>
        <w:ind w:firstLine="227"/>
        <w:jc w:val="center"/>
      </w:pPr>
      <w:r>
        <w:t>................................................................................................................................................................</w:t>
      </w:r>
    </w:p>
    <w:p>
      <w:pPr>
        <w:spacing w:before="120" w:after="120" w:beforeAutospacing="0" w:afterAutospacing="0"/>
        <w:ind w:firstLine="227"/>
        <w:jc w:val="center"/>
      </w:pPr>
      <w:r>
        <w:t>................................................................................................................................................................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Pacjent spełnia wszystkie kryteria umożliwiające włączenie do programu …………………………………………………………………………………...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Pacjent nie spełnia kryteriów wyłączenia z programu…………….………..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Data:………………………..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18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auto"/>
          <w:sz w:val="18"/>
          <w:u w:val="none"/>
          <w:vertAlign w:val="baseline"/>
        </w:rPr>
        <w:t>nadruk lub pieczątka zawierające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18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18"/>
          <w:u w:val="none" w:color="000000"/>
          <w:vertAlign w:val="baseline"/>
        </w:rPr>
        <w:t xml:space="preserve"> imię i nazwisko lekarza, numer prawa wykonywania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18"/>
          <w:u w:val="none" w:color="000000"/>
          <w:vertAlign w:val="baseline"/>
        </w:rPr>
        <w:t xml:space="preserve"> zawodu oraz jego podpis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2023-01-26T15:02:49Z</dcterms:created>
  <cp:lastModifiedBy>Popiołek Tomasz</cp:lastModifiedBy>
  <dcterms:modified xsi:type="dcterms:W3CDTF">2023-02-10T11:35:29Z</dcterms:modified>
  <cp:revision>86</cp:revision>
  <dc:subject>w sprawie określenia warunków zawierania i realizacji umów w rodzaju leczenie szpitalne w zakresie programy lekowe</dc:subject>
  <dc:title>Zarządzenie Nr ..../2023/DGL</dc:title>
</cp:coreProperties>
</file>