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5C031D5" Type="http://schemas.openxmlformats.org/officeDocument/2006/relationships/officeDocument" Target="/word/document.xml" /><Relationship Id="coreR35C031D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32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w programie lekowym Leczenie pacjentów ze spektrum zapalenia nerwów wzrokowych i rdzenia kręgowego (NMOSD)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w programie lekowym Leczenie pacjentów ze spektrum zapalenia nerwów wzrokowych i rdzenia kręgowego (NMOSD)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pacjentów ze spektrum zapalenia nerwów wzrokowych i rdzenia kręgowego (NMOSD)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G36.0 – Zapalenie rdzenia kręgowego i nerwów wzrokowych [zespół Devica]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Pacjentów ze Spektrum Zapalenia Nerwów Wzrokowych i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 oraz neurologii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1) </w:t>
            </w:r>
            <w:r>
              <w:rPr>
                <w:sz w:val="20"/>
              </w:rPr>
              <w:t>kryteria kwalifikacji zostały określone w opisie programu lekowego;</w:t>
            </w:r>
          </w:p>
          <w:p>
            <w:pPr>
              <w:jc w:val="left"/>
            </w:pPr>
            <w:r>
              <w:t xml:space="preserve">2) </w:t>
            </w:r>
            <w:r>
              <w:rPr>
                <w:sz w:val="20"/>
              </w:rPr>
              <w:t>kwalifikacja lub weryfikacja skuteczności leczenia dokonywana jest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  <w:t> 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 Wzory dokumentów niezbędnych dla kwalifikacji pacjenta do leczenia w programie lekowym Leczenie pacjentów ze spektrum zapalenia nerwów wzrokowych i rdzenia kręgowego (NMOSD)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Wniosek o zakwalifikowanie pacjenta do leczenia w programie lekowym Leczenie pacjentów ze spektrum zapalenia nerwów wzrokowych i rdzenia kręgowego (NMOSD)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ab/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735" w:type="dxa"/>
          <w:trHeight w:hRule="atLeast" w:val="540"/>
        </w:trPr>
        <w:tc>
          <w:tcPr>
            <w:tcW w:w="495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39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MRI potwierdzający rozpoznanie NMOSD: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potwierdzający obecność przeciwciał anty-AQP4: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stanu neurologicznego z określeniem EDSS: 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380" w:type="dxa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380" w:type="dxa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4"/>
              </w:rPr>
              <w:t>rozpoznanie chorób ze spektrum zapalenia nerwów wzrokowych oraz rdzenia kręgowego (NMOSD) - oparte na aktualnych kryteriach diagnostycznych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380" w:type="dxa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4"/>
              </w:rPr>
              <w:t>potwierdzenie obecności przeciwciał anty-AQP4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380" w:type="dxa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4"/>
              </w:rPr>
              <w:t>EDSS od 0 do 6,5 włącznie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380" w:type="dxa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4"/>
              </w:rPr>
              <w:t>brak przeciwwskazań do stosowania satralizumabu określonych w aktualnej Charakterystyce Produktu Leczniczego (ChPL)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380" w:type="dxa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4"/>
              </w:rPr>
              <w:t>brak wcześniejszego leczenia inną terapią z zastosowaniem leków z grupy inhibitorów interleukiny 6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0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245" w:type="dxa"/>
          <w:trHeight w:hRule="atLeast" w:val="291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Przeciwskazania do włączenia do programu: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8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NIE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245" w:type="dxa"/>
          <w:trHeight w:hRule="atLeast" w:val="514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nadwrażliwość na satralizumab lub na którąkolwiek substancję pomocniczą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245" w:type="dxa"/>
          <w:trHeight w:hRule="atLeast" w:val="243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trwające aktualnie czynne zakażenie do momentu ustąpienia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245" w:type="dxa"/>
          <w:trHeight w:hRule="atLeast" w:val="261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aktywny nowotwór złośliwy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245" w:type="dxa"/>
          <w:trHeight w:hRule="atLeast" w:val="544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wcześniejsze leczenie przeciwciałem anty-CD20, ekulizumabem, przeciwciałem monoklonalnym anty-BLyS, lekiem zapobiegającym nawrotom stwardnienia rozsianego w ciągu 6 miesięcy przed kwalifikacją do programu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245" w:type="dxa"/>
          <w:trHeight w:hRule="atLeast" w:val="582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wcześniejsze leczenie anty-CD4, kladrybiną, cyklofosfamidem lub mitoksantronem, przeszczepienie komórek macierzystych szpiku w ciągu 2 lat przed przystąpieniem do programu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245" w:type="dxa"/>
          <w:trHeight w:hRule="atLeast" w:val="582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inne stany kliniczne, które w opinii lekarza, mogą stanowić przeciwwskazania do terapii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1245" w:type="dxa"/>
          <w:trHeight w:hRule="atLeast" w:val="582"/>
        </w:trPr>
        <w:tc>
          <w:tcPr>
            <w:tcW w:w="70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inne przeciwwskazania wymienione w aktualnej ChPL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0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0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1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3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…………………………</w:t>
            </w:r>
          </w:p>
        </w:tc>
        <w:tc>
          <w:tcPr>
            <w:tcW w:w="52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47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25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pacjentów ze spektrum zapalenia nerwów wzrokowych i rdzenia kręgowego (NMOSD)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Pacjentów ze Spektrum Zapalenia Nerwów Wzrokowych i Rdzenia Kręgowego: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Enspryng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Podpis  Przewodniczącego Zespołu Koordynacyjnego ds. Leczenia Pacjentów ze Spektrum Zapalenia Nerwów Wzrokowych i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pacjentów ze spektrum zapalenia nerwów wzrokowych i rdzenia kręgowego (NMOSD)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satralizumabem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Administrator danych osobowych, przetwarzający dane niezbędne przy realizacji programu lekowego zobowiązany jest do stosowania przepisów Rozporządzenia Parlamentu Europejskiego i Rady (UE) 2016/679  z 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2023-01-27T10:16:14Z</dcterms:created>
  <cp:lastModifiedBy>Popiołek Tomasz</cp:lastModifiedBy>
  <dcterms:modified xsi:type="dcterms:W3CDTF">2023-02-10T11:36:25Z</dcterms:modified>
  <cp:revision>66</cp:revision>
  <dc:subject>w sprawie określenia warunków zawierania i realizacji umów w rodzaju leczenie szpitalne w zakresie programy lekowe</dc:subject>
  <dc:title>Zarządzenie Nr ..../2023/DGL</dc:title>
</cp:coreProperties>
</file>