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8765D4" Type="http://schemas.openxmlformats.org/officeDocument/2006/relationships/officeDocument" Target="/word/document.xml" /><Relationship Id="coreR68765D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1k 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7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kod</w:t>
              <w:br w:type="textWrapping"/>
              <w:t>świadczenia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5.08.07.0000021</w:t>
            </w:r>
          </w:p>
        </w:tc>
        <w:tc>
          <w:tcPr>
            <w:tcW w:w="133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36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35"/>
        </w:trPr>
        <w:tc>
          <w:tcPr>
            <w:tcW w:w="378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lub pod kontrolą tomografii komputerowej.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dichlorku radu Ra-223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podaniem toksyny botulinowej typu A pod kontrolą elektromiografii, stymulacji elektrycznej mięśnia i/lub ultrasonografii w leczeniu spastyczności kończyny górnej i/lub dolnej po udarze mózgu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toksyny botulinowej typu A w leczeniu migreny przewlekłej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Lutetium (177Lu) oxodotreotidi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37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600,00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koszt świadczenia zawarty w wycenie koncentratu czynnika krzepnięcia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745,79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03.0000.303.02 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nowotworów podścieliska przewodu pokarmowego  (GIST)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jelita grubego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wątrobowokomórkowego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płuca oraz międzybłoniaka opłucnej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mięsaków tkanek miękkich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B-komórkowe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przedwczesnego dojrzewania płciowego u dzieci  lub zagrażającej patologicznej niskorosłości na skutek szybko postępującego dojrzewania płciowego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somatotropinową niedoczynnością  przysadki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ciężkich wrodzonych hiperhomocysteinemii 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Pompego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Gauchera  typu I oraz typu III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mukopolisacharydozy typu II (zespół Huntera)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03.0000.330.02 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spastyczności w mózgowym porażeniu dziecięcym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łuszczycowego zapalenia stawów (ŁZS)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niedokrwistości w przebiegu przewlekłej niewydolności nerek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płaskonabłonkowego raka narządów głowy i szyi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03.0000.353.02 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wysoko zróżnicowanego nowotworu neuroendokrynnego trzustki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opornego na kastrację raka gruczołu krokowego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spastyczności kończyny górnej i/lub dolnej  po udarze mózgu z użyciem toksyny botulinowej typu A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przełyku i żołądka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cystynozę nefropatyczną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T-komórkowe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neurogennej nadreaktywności wypieracza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aktywną postać ziarniniakowatości z zapaleniem naczyń (GPA) lub mikroskopowe zapalenie naczyń (MPA)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tyrozynemii typu 1 (HT-1)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klasycznego chłoniaka Hodgkina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mielofibrozy pierwotnej oraz mielofibrozy wtórnej w przebiegu czerwienicy prawdziwej i nadpłytkowości samoistnej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wrodzonymi zespołami autozapalnymi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podstawnokomórkowego skóry wismodegibem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ewerolimusem chorych na stwardnienie guzowate z niekwalifikującymi się do leczenia operacyjnego guzami podwyściółkowymi olbrzymiokomórkowymi (SEGA)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atypowego zespołu hemolityczno-mocznicowego (aHUS)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nocnej napadowej hemoglobinurii (PNH)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zapalenia błony naczyniowej oka (ZBN) - część pośrednia, odcinek tylny lub cała błona naczyniowa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agresywnego i objawowego, nieoperacyjnego, miejscowo zaawansowanego lub przerzutowego raka rdzeniastego tarczycy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agresywnej mastocytozy układowej, mastocytozy układowej z współistniejącym nowotworem układu krwiotwórczego oraz białaczki mastocytarnej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2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postępującym, miejscowo zaawansowanym lub z przerzutami, zróżnicowanym (brodawkowatym/ pęcherzykowym/oksyfilnym - z komórek Hürthle’a) rakiem tarczycy, opornym na leczenie jodem radioaktywnym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amifamprydyną pacjentów z zespołem miastenicznym Lamberta-Eatona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atopowego zapalenia skóry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zaawansowanego raka kolczystokomórkowego skóry cemiplimabem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ciężką anemię aplastyczną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dystrofią mięśniową Duchenne’a spowodowaną mutacją nonsensowną w genie dystrofiny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3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Stosowanie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nintedanibem choroby śródmiąższowej płuc związanej z twardziną układową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nowotworami neuroendokrynnymi układu pokarmowego z zastosowaniem radiofarmaceutyków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urotelialnym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55"/>
        </w:trPr>
        <w:tc>
          <w:tcPr>
            <w:tcW w:w="37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(-14 dni) od daty sprawozdania świadczenia o kodzie 5.08.07.0000026 nie dopuszcza się możliwości rozliczenia świadczenia o kodzie 5.08.07.0000001, 5.08.07.0000002, 5.08.07.0000003, 5.08.07.0000004;</w:t>
              <w:br w:type="textWrapping"/>
              <w:t>- nie można łączyć ze świadczeniami rozliczanymi w zał. nr 1a, 1b, 1e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1e;</w:t>
              <w:br w:type="textWrapping"/>
              <w:t>- w przypadku realizacji zakresu o kodzie 03.0000.365.02 oraz 03.0000.393.02 dotyczy tylko kwalifikacji do leczenia tisagenlecleucelem albo aksykabtagenem cyloleucelu przez zespół koordynacyjny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można łączyć ze świadczeniami z</w:t>
            </w:r>
            <w:r>
              <w:rPr>
                <w:i w:val="1"/>
                <w:sz w:val="18"/>
              </w:rPr>
              <w:t xml:space="preserve"> Katalogu leków refundowanych stosowanych w programach lekowych </w:t>
            </w:r>
            <w:r>
              <w:rPr>
                <w:sz w:val="18"/>
              </w:rPr>
              <w:t>w zakresie koncentratów czynników krzepnięcia</w:t>
            </w:r>
          </w:p>
          <w:p>
            <w:pPr>
              <w:jc w:val="center"/>
            </w:pPr>
            <w:r>
              <w:rPr>
                <w:sz w:val="18"/>
              </w:rPr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2023-02-07T13:05:17Z</dcterms:created>
  <cp:lastModifiedBy>Popiołek Tomasz</cp:lastModifiedBy>
  <dcterms:modified xsi:type="dcterms:W3CDTF">2023-02-10T11:34:58Z</dcterms:modified>
  <cp:revision>43</cp:revision>
  <dc:subject>w sprawie określenia warunków zawierania i realizacji umów w rodzaju leczenie szpitalne w zakresie programy lekowe</dc:subject>
  <dc:title>Zarządzenie Nr ..../2023/DGL</dc:title>
</cp:coreProperties>
</file>