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A9" w:rsidRDefault="0074212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2a do zarządzenia Nr 132/2024/DSOZ</w:t>
      </w:r>
      <w:r>
        <w:br/>
        <w:t>Prezesa Narodowego Funduszu Zdrowia</w:t>
      </w:r>
      <w:r>
        <w:br/>
        <w:t>z dnia 31 grudnia 2024 r.</w:t>
      </w:r>
    </w:p>
    <w:p w:rsidR="006314A9" w:rsidRDefault="00742125">
      <w:pPr>
        <w:keepNext/>
        <w:spacing w:after="480"/>
        <w:jc w:val="center"/>
      </w:pPr>
      <w:r>
        <w:rPr>
          <w:b/>
        </w:rPr>
        <w:t>02/01/AOS/......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</w:t>
      </w:r>
      <w:r>
        <w:rPr>
          <w:b/>
        </w:rPr>
        <w:br/>
        <w:t>- AMBULATORYJNA OPIEKA SPECJALISTYCZNA</w:t>
      </w:r>
    </w:p>
    <w:p w:rsidR="006314A9" w:rsidRDefault="00742125">
      <w:pPr>
        <w:spacing w:before="120" w:after="120"/>
        <w:ind w:firstLine="227"/>
        <w:jc w:val="left"/>
      </w:pPr>
      <w:r>
        <w:t xml:space="preserve">zawarta </w:t>
      </w:r>
      <w:r>
        <w:t>w ......................................................., dnia ............................................. roku, pomiędzy: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imieniu którego działa</w:t>
      </w:r>
      <w:r>
        <w:rPr>
          <w:color w:val="000000"/>
          <w:u w:color="000000"/>
        </w:rPr>
        <w:t>: ………………………………………</w:t>
      </w:r>
      <w:r>
        <w:rPr>
          <w:color w:val="000000"/>
          <w:u w:color="000000"/>
        </w:rPr>
        <w:t>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.....................................................................</w:t>
      </w:r>
      <w:r>
        <w:rPr>
          <w:color w:val="000000"/>
          <w:u w:color="000000"/>
        </w:rPr>
        <w:t>..………………………………………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………………………………………………………………. (adres),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 podstawie pełnomocnictwa/pełnomocnictw</w:t>
      </w:r>
      <w:r>
        <w:rPr>
          <w:color w:val="000000"/>
          <w:u w:color="000000"/>
          <w:vertAlign w:val="superscript"/>
        </w:rPr>
        <w:t>1#)</w:t>
      </w:r>
      <w:r>
        <w:rPr>
          <w:color w:val="000000"/>
          <w:u w:color="000000"/>
        </w:rPr>
        <w:t xml:space="preserve"> nr ………....... z dnia ……………/ i nr ......... z dnia …........../, zwanym dalej </w:t>
      </w:r>
      <w:r>
        <w:rPr>
          <w:b/>
          <w:color w:val="000000"/>
          <w:u w:color="000000"/>
        </w:rPr>
        <w:t>„Funduszem”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 ,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pkt 41 ustawy z dnia 27 sierpnia 2004 r. o świadczeniach opieki zdrowotnej finansow</w:t>
      </w:r>
      <w:r>
        <w:rPr>
          <w:i/>
          <w:color w:val="000000"/>
          <w:u w:color="000000"/>
        </w:rPr>
        <w:t xml:space="preserve">anych ze środków publicznych (Dz. U. z 2024 r. poz. 146, z późn.zm.), 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 xml:space="preserve">Przedmiotem umowy jest udzielanie przez Świadczeniodawcę świadczeń opieki zdrowotnej, w rodzaju ambulatoryjna opieka specjalistyczna, zwanych dalej „świadczeniami”, w zakresach określonych w Planie rzeczowo-finansowym, stanowiącym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 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określonymi: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ustawie z dnia 27 sierpnia 2004 r. o świadczeniach opieki zdrowotnej finansowanych ze środków publicznych (Dz. U. z 2024 r. poz. 146,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zwanej dalej „ustawą o świadczeniach”,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6314A9" w:rsidRDefault="00742125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ambulatoryjnej opieki specjalistycznej wydanym na podstawie art. 31d ustawy o świadczeniach,</w:t>
      </w:r>
    </w:p>
    <w:p w:rsidR="006314A9" w:rsidRDefault="00742125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</w:t>
      </w:r>
      <w:r>
        <w:rPr>
          <w:color w:val="000000"/>
          <w:u w:color="000000"/>
        </w:rPr>
        <w:t xml:space="preserve"> świadczeń gwarantowanych z zakresu programów zdrowotnych wydanym na podstawie art. 31d ustawy o świadczeniach,</w:t>
      </w:r>
    </w:p>
    <w:p w:rsidR="006314A9" w:rsidRDefault="00742125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 sprawie ogólnych warunków umów o udzielanie świadczeń opieki zdrowotnej wydanym na podstawie art. 137 ust. 2 ustawy o świadczeniach, zwanym </w:t>
      </w:r>
      <w:r>
        <w:rPr>
          <w:color w:val="000000"/>
          <w:u w:color="000000"/>
        </w:rPr>
        <w:t>dalej „Ogólnymi warunkami umów”;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realizacji umów w rodzaju ambulatoryjna opieka specjalistyczna, określonymi przez Prezesa Narodowego Funduszu Zdrowia na podstawie art. 146 ust. 1 pkt 2 ustawy o świadczeniach, zwa</w:t>
      </w:r>
      <w:r>
        <w:rPr>
          <w:color w:val="000000"/>
          <w:u w:color="000000"/>
        </w:rPr>
        <w:t>nymi dalej „szczegółowymi warunkami umów”.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Świadczeniodawca obowiązany jest zapoznać z przepisami § 12 Ogólnych warunków umów wszystkie osoby, które udzielają świadczeń lub udzielają informacji świadczeniobiorcom o sposobie, trybie oraz zasadach udziela</w:t>
      </w:r>
      <w:r>
        <w:rPr>
          <w:color w:val="000000"/>
          <w:u w:color="000000"/>
        </w:rPr>
        <w:t>nia świadczeń w jego placówce.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świadczeń udzielane są: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przez osoby wymienione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>do umowy – „Harmonogram – zasoby”;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</w:t>
      </w:r>
      <w:r>
        <w:rPr>
          <w:color w:val="000000"/>
          <w:u w:color="000000"/>
        </w:rPr>
        <w:t xml:space="preserve">ym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>do umowy – „Harmonogram – zasoby”.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Dane o potencjale wykonawczym Świadczeniodawcy przeznaczonym do realizacji umowy, będące w jego dyspozycji, określone są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 xml:space="preserve">do umowy – „Harmonogram - zasoby”. 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Świadczenia w poszc</w:t>
      </w:r>
      <w:r>
        <w:rPr>
          <w:color w:val="000000"/>
          <w:u w:color="000000"/>
        </w:rPr>
        <w:t xml:space="preserve">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 </w:t>
      </w:r>
      <w:r>
        <w:rPr>
          <w:color w:val="000000"/>
          <w:u w:color="000000"/>
        </w:rPr>
        <w:t>do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</w:t>
      </w:r>
      <w:r>
        <w:rPr>
          <w:color w:val="000000"/>
          <w:u w:color="000000"/>
        </w:rPr>
        <w:t>cznie przez podwykonawcę spełniającego warunki określone w przepisach, o których mowa w § 1 ust. 2 pkt 1, przepisach odrębnych i szczegółowych warunkach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zakresu świadczeń będący</w:t>
      </w:r>
      <w:r>
        <w:rPr>
          <w:color w:val="000000"/>
          <w:u w:color="000000"/>
        </w:rPr>
        <w:t>ch przedmiotem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Umowa zawarta między Świadczeniodawcą a podwykonawcą zawiera zastrzeżenie o prawie Narodowego Funduszu Zdrowia do przeprowadzenia kontroli podmiotów biorących udział w udzielaniu świadczeń, na zasadach określonych w ustawie </w:t>
      </w:r>
      <w:r>
        <w:rPr>
          <w:color w:val="000000"/>
          <w:u w:color="000000"/>
        </w:rPr>
        <w:t>o świadczeniach, w zakresie wynikającym z umowy. Fundusz informuje Świadczeniodawcę o rozpoczęciu i zakończeniu kontroli podwykonawcy oraz jej wynikach.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 </w:t>
      </w:r>
      <w:r>
        <w:rPr>
          <w:color w:val="000000"/>
          <w:u w:color="000000"/>
        </w:rPr>
        <w:t>do umowy lub nawiązanie współpr</w:t>
      </w:r>
      <w:r>
        <w:rPr>
          <w:color w:val="000000"/>
          <w:u w:color="000000"/>
        </w:rPr>
        <w:t>acy z innym podwykonawcą, wymaga zgłoszenia dyrektorowi oddziału wojewódzkiego Funduszu, najpóźniej w dniu poprzedzającym wejście w życie zmiany.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jest do bieżącego aktualizowania danych o swoim potencjale wykonawczym przeznac</w:t>
      </w:r>
      <w:r>
        <w:rPr>
          <w:color w:val="000000"/>
          <w:u w:color="000000"/>
        </w:rPr>
        <w:t>zonym do realizacji umowy, przez który rozumie się zasoby będące w dyspozycji Świadczeniodawcy służące wykonywaniu świadczeń, w szczególności osoby udzielające tych świadczeń i sprzęt.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8, należy dokonywać z</w:t>
      </w:r>
      <w:r>
        <w:rPr>
          <w:color w:val="000000"/>
          <w:u w:color="000000"/>
        </w:rPr>
        <w:t>a pomocą udostępnionych przez Fundusz aplikacji informatycznych, w szczególności Portalu Narodowego Funduszu Zdrowia, na zasadach i warunkach określonych w zarządzeniu Prezesa Funduszu w sprawie korzystania z Portalu Narodowego Funduszu Zdrowia oraz w umow</w:t>
      </w:r>
      <w:r>
        <w:rPr>
          <w:color w:val="000000"/>
          <w:u w:color="000000"/>
        </w:rPr>
        <w:t>ie upoważniającej do korzystania z tego Portalu.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Świadczeniodawca realizujący diagnostykę onkologiczną ma obowiązek umieszczenia na</w:t>
      </w:r>
      <w:r>
        <w:rPr>
          <w:color w:val="000000"/>
          <w:u w:color="000000"/>
        </w:rPr>
        <w:t xml:space="preserve"> zewnątrz budynku, w którym udzielane są świadczenia, w miejscu ogólnie dostępnym, tablicy ze znakiem graficznym realizatora świadczeń na rzecz pacjentów posiadających kartę diagnostyki i leczenia onkologicznego, według wzoru określonego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do szczegółowych warunków umów. 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Tablica, o której mowa w ust. 11, umieszczana jest w bezpośrednim sąsiedztwie ze znakiem graficznym Funduszu.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obowiązany do zawarcia umowy ubezpieczenia odpowiedzi</w:t>
      </w:r>
      <w:r>
        <w:rPr>
          <w:color w:val="000000"/>
          <w:u w:color="000000"/>
        </w:rPr>
        <w:t>alności cywilnej za szkody wyrządzone w związku z udzielaniem świadczeń, na warunkach określonych w przepisach wydanych na podstawie art. 136b ust. 2 ustawy o świadczeniach.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</w:t>
      </w:r>
      <w:r>
        <w:rPr>
          <w:color w:val="000000"/>
          <w:u w:color="000000"/>
        </w:rPr>
        <w:t>iodawcy z tytułu realizacji umowy w okresie od dnia ………. r. do dnia ……….. r. wynosi maksymalnie …………....... zł (</w:t>
      </w:r>
      <w:r>
        <w:rPr>
          <w:i/>
          <w:color w:val="000000"/>
          <w:u w:color="000000"/>
        </w:rPr>
        <w:t>słownie</w:t>
      </w:r>
      <w:r>
        <w:rPr>
          <w:color w:val="000000"/>
          <w:u w:color="000000"/>
        </w:rPr>
        <w:t>: ......……………………………….…… zł).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środki wynikające z określenia współczynników koryguj</w:t>
      </w:r>
      <w:r>
        <w:rPr>
          <w:color w:val="000000"/>
          <w:u w:color="000000"/>
        </w:rPr>
        <w:t>ących, o których mowa w § 16 Ogólnych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 xml:space="preserve">W przypadku nieprzeznaczenia przez Świadczeniodawcę środków wynikających z określenia współczynników korygujących, o których mowa w § 16 ust. 3 Ogólnych warunków umów, w sposób określony w § </w:t>
      </w:r>
      <w:r>
        <w:rPr>
          <w:color w:val="000000"/>
          <w:u w:color="000000"/>
        </w:rPr>
        <w:t>16 ust. 3 i 4, Ogólnych warunków umów, kwota przekazanych Świadczeniodawcy środków podlega zwrotowi.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poszczególnych zakresach świadczeń objętych umową, w okresie rozliczeniowym, o których</w:t>
      </w:r>
      <w:r>
        <w:rPr>
          <w:color w:val="000000"/>
          <w:u w:color="000000"/>
        </w:rPr>
        <w:t xml:space="preserve"> mowa w ust. 1, określa „Plan rzeczowo-finansowy”, stanowiący </w:t>
      </w:r>
      <w:r>
        <w:rPr>
          <w:b/>
          <w:color w:val="000000"/>
          <w:u w:color="000000"/>
        </w:rPr>
        <w:t>załącznik nr 1 </w:t>
      </w:r>
      <w:r>
        <w:rPr>
          <w:color w:val="000000"/>
          <w:u w:color="000000"/>
        </w:rPr>
        <w:t>do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rachunek bankowy: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………………………………….………………………. nr ………………</w:t>
      </w:r>
      <w:r>
        <w:rPr>
          <w:color w:val="000000"/>
          <w:u w:color="000000"/>
        </w:rPr>
        <w:t>…………………………………………………………………..........................................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 o którym mowa w ust. 5, wymaga uprzednio złożenia przez świadczeniodawcę, w formie elektronicznej poprzez Portal Narodowego Funduszu Zdrowia albo w for</w:t>
      </w:r>
      <w:r>
        <w:rPr>
          <w:color w:val="000000"/>
          <w:u w:color="000000"/>
        </w:rPr>
        <w:t xml:space="preserve">mie pisemnej, wniosku w sprawie zmiany rachunku bankowego, którego wzór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W 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umowy, w zakresie położnictwa i ginekologii wyodrębnia się dla skojarzonego zakresu świadczeń kwotę zobowiązania przeznaczoną wyłącznie na realizację świadczeń o kodzie: 5.05.00.0000060, wyszczególnionych w Katalogu specjalistycznych świadczeń odrębnyc</w:t>
      </w:r>
      <w:r>
        <w:rPr>
          <w:color w:val="000000"/>
          <w:u w:color="000000"/>
        </w:rPr>
        <w:t xml:space="preserve">h, stanowiącym </w:t>
      </w:r>
      <w:r>
        <w:rPr>
          <w:b/>
          <w:color w:val="000000"/>
          <w:u w:color="000000"/>
        </w:rPr>
        <w:t>załącznik nr 5b</w:t>
      </w:r>
      <w:r>
        <w:rPr>
          <w:color w:val="000000"/>
          <w:u w:color="000000"/>
        </w:rPr>
        <w:t xml:space="preserve"> do szczegółowych warunków umów, wykonywanych w poradniach realizujących świadczenia z zakresu położnictwa i ginekologii.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 załączniku nr 1 do umowy, w odniesieniu do świadczeń udzielanych w poradniach specjalistycznych: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</w:t>
      </w:r>
      <w:r>
        <w:t> </w:t>
      </w:r>
      <w:r>
        <w:rPr>
          <w:color w:val="000000"/>
          <w:u w:color="000000"/>
        </w:rPr>
        <w:t>w zakresach nefrologii oraz nefrologii dla dzieci, wyodrębnia się dla każdego skojarzonego zakresu świadczeń kwotę zobowiązania przeznaczoną wyłącznie na realizację świadczeń o kodzie: 5.05.00.0000064 oraz 5.05.00.0000079, wyszczególnionych w Katalogu spe</w:t>
      </w:r>
      <w:r>
        <w:rPr>
          <w:color w:val="000000"/>
          <w:u w:color="000000"/>
        </w:rPr>
        <w:t xml:space="preserve">cjalistycznych świadczeń odrębnych, stanowiącym </w:t>
      </w:r>
      <w:r>
        <w:rPr>
          <w:b/>
          <w:color w:val="000000"/>
          <w:u w:color="000000"/>
        </w:rPr>
        <w:t>załącznik nr 5b</w:t>
      </w:r>
      <w:r>
        <w:rPr>
          <w:color w:val="000000"/>
          <w:u w:color="000000"/>
        </w:rPr>
        <w:t xml:space="preserve"> do szczegółowych warunków umów;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 zakresach: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gastroenterologii,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położnictwa i ginekologii,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chirurgii ogólnej,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chirurgii dziecięcej,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proktologii,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chirurgii onkologicznej,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</w:t>
      </w:r>
      <w:r>
        <w:t>) </w:t>
      </w:r>
      <w:r>
        <w:rPr>
          <w:color w:val="000000"/>
          <w:u w:color="000000"/>
        </w:rPr>
        <w:t>ortopedii i traumatologii narządu ruchu,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ortopedii i traumatologii narządu ruchu dla dzieci,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okulistyki,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otolaryngologii,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k) </w:t>
      </w:r>
      <w:r>
        <w:rPr>
          <w:color w:val="000000"/>
          <w:u w:color="000000"/>
        </w:rPr>
        <w:t>chirurgii szczękowo-twarzowej,</w:t>
      </w:r>
    </w:p>
    <w:p w:rsidR="006314A9" w:rsidRDefault="0074212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l) </w:t>
      </w:r>
      <w:r>
        <w:rPr>
          <w:color w:val="000000"/>
          <w:u w:color="000000"/>
        </w:rPr>
        <w:t>urologii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wyodrębnia się dla każdego skojarzonego zakresu świadczeń kwotę zobowiązania przeznaczoną wyłącznie na realizację grup świadczeń o kodzie rozpoczynającym się na literę Z, wyszczególnionych w Katalogu ambulatoryjnych grup świadczeń specjalistycznych, stanow</w:t>
      </w:r>
      <w:r>
        <w:rPr>
          <w:color w:val="000000"/>
          <w:u w:color="000000"/>
        </w:rPr>
        <w:t xml:space="preserve">iącym </w:t>
      </w:r>
      <w:r>
        <w:rPr>
          <w:b/>
          <w:color w:val="000000"/>
          <w:u w:color="000000"/>
        </w:rPr>
        <w:t>załącznik nr 5a</w:t>
      </w:r>
      <w:r>
        <w:rPr>
          <w:color w:val="000000"/>
          <w:u w:color="000000"/>
        </w:rPr>
        <w:t xml:space="preserve"> do szczegółowych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załączniku nr 1 do umowy, w odniesieniu do świadczeń udzielanych w poradniach specjalistycznych, w zakresach: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endokrynologii,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endokrynologii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gastroenterologii,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4) </w:t>
      </w:r>
      <w:r>
        <w:rPr>
          <w:color w:val="000000"/>
          <w:u w:color="000000"/>
        </w:rPr>
        <w:t>gastroenterologii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hepatologii,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hematologii,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onkologii i hematologii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nefrologii,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nefrologii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dermatologii i wenerologii,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neurologii,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neurologii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onkologii,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gruźlicy i chorób pł</w:t>
      </w:r>
      <w:r>
        <w:rPr>
          <w:color w:val="000000"/>
          <w:u w:color="000000"/>
        </w:rPr>
        <w:t>uc,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gruźlicy i chorób płuc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położnictwa i ginekologii,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>ginekologii dla dziewcząt,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chirurgii ogólnej,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r>
        <w:rPr>
          <w:color w:val="000000"/>
          <w:u w:color="000000"/>
        </w:rPr>
        <w:t>chirurgii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proktologii,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chirurgii klatki piersiowej,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chirurgii onkologicznej,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chirurgii onkologic</w:t>
      </w:r>
      <w:r>
        <w:rPr>
          <w:color w:val="000000"/>
          <w:u w:color="000000"/>
        </w:rPr>
        <w:t>znej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>neurochirurgii,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25) </w:t>
      </w:r>
      <w:r>
        <w:rPr>
          <w:color w:val="000000"/>
          <w:u w:color="000000"/>
        </w:rPr>
        <w:t>neurochirurgii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26) </w:t>
      </w:r>
      <w:r>
        <w:rPr>
          <w:color w:val="000000"/>
          <w:u w:color="000000"/>
        </w:rPr>
        <w:t>ortopedii i traumatologii narządu ruchu,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27) </w:t>
      </w:r>
      <w:r>
        <w:rPr>
          <w:color w:val="000000"/>
          <w:u w:color="000000"/>
        </w:rPr>
        <w:t>okulistyki,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28) </w:t>
      </w:r>
      <w:r>
        <w:rPr>
          <w:color w:val="000000"/>
          <w:u w:color="000000"/>
        </w:rPr>
        <w:t>okulistyki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29) </w:t>
      </w:r>
      <w:r>
        <w:rPr>
          <w:color w:val="000000"/>
          <w:u w:color="000000"/>
        </w:rPr>
        <w:t>otolaryngologii,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30) </w:t>
      </w:r>
      <w:r>
        <w:rPr>
          <w:color w:val="000000"/>
          <w:u w:color="000000"/>
        </w:rPr>
        <w:t>otolaryngologii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31) </w:t>
      </w:r>
      <w:r>
        <w:rPr>
          <w:color w:val="000000"/>
          <w:u w:color="000000"/>
        </w:rPr>
        <w:t>audiologii i foniatrii,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32) </w:t>
      </w:r>
      <w:r>
        <w:rPr>
          <w:color w:val="000000"/>
          <w:u w:color="000000"/>
        </w:rPr>
        <w:t xml:space="preserve">chirurgii </w:t>
      </w:r>
      <w:r>
        <w:rPr>
          <w:color w:val="000000"/>
          <w:u w:color="000000"/>
        </w:rPr>
        <w:t>szczękowo-twarzowej,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33) </w:t>
      </w:r>
      <w:r>
        <w:rPr>
          <w:color w:val="000000"/>
          <w:u w:color="000000"/>
        </w:rPr>
        <w:t>urologii,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34) </w:t>
      </w:r>
      <w:r>
        <w:rPr>
          <w:color w:val="000000"/>
          <w:u w:color="000000"/>
        </w:rPr>
        <w:t>urologii dziecięcej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wyodrębnia się dla każdego skojarzonego zakresu świadczeń kwotę zobowiązania przeznaczoną wyłącznie na realizację diagnostyki onkologicznej w rama</w:t>
      </w:r>
      <w:r>
        <w:rPr>
          <w:color w:val="000000"/>
          <w:u w:color="000000"/>
        </w:rPr>
        <w:t xml:space="preserve">ch Katalogu diagnostycznych pakietów onkologicznych, stanowiącego </w:t>
      </w:r>
      <w:r>
        <w:rPr>
          <w:b/>
          <w:color w:val="000000"/>
          <w:u w:color="000000"/>
        </w:rPr>
        <w:t>załącznik nr 5c</w:t>
      </w:r>
      <w:r>
        <w:rPr>
          <w:color w:val="000000"/>
          <w:u w:color="000000"/>
        </w:rPr>
        <w:t xml:space="preserve"> do szczegółowych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 załączniku nr 1 do umowy, w odniesieniu do świadczeń udzielanych w poradniach specjalistycznych, w zakresach: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chorób metabolicznych,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alergologii,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alergologii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4) </w:t>
      </w:r>
      <w:r>
        <w:rPr>
          <w:color w:val="000000"/>
          <w:u w:color="000000"/>
        </w:rPr>
        <w:t>diabetologii,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diabetologii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endokrynologii,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endokrynologii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gastroenterologii,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gastroenterologii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hepatologii,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geriatrii,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hematologii,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 xml:space="preserve">onkologii </w:t>
      </w:r>
      <w:r>
        <w:rPr>
          <w:color w:val="000000"/>
          <w:u w:color="000000"/>
        </w:rPr>
        <w:t>i hematologii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immunologii,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kardiologii,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kardiologii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>leczenia chorób naczyń,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nefrologii,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r>
        <w:rPr>
          <w:color w:val="000000"/>
          <w:u w:color="000000"/>
        </w:rPr>
        <w:t>nefrologii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toksykologii,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dermatologii i wenerologii,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genetyki,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neurologii,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 xml:space="preserve">neurologii </w:t>
      </w:r>
      <w:r>
        <w:rPr>
          <w:color w:val="000000"/>
          <w:u w:color="000000"/>
        </w:rPr>
        <w:t>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25) </w:t>
      </w:r>
      <w:r>
        <w:rPr>
          <w:color w:val="000000"/>
          <w:u w:color="000000"/>
        </w:rPr>
        <w:t>leczenia bólu,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26) </w:t>
      </w:r>
      <w:r>
        <w:rPr>
          <w:color w:val="000000"/>
          <w:u w:color="000000"/>
        </w:rPr>
        <w:t>onkologii,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27) </w:t>
      </w:r>
      <w:r>
        <w:rPr>
          <w:color w:val="000000"/>
          <w:u w:color="000000"/>
        </w:rPr>
        <w:t>gruźlicy i chorób płuc,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28) </w:t>
      </w:r>
      <w:r>
        <w:rPr>
          <w:color w:val="000000"/>
          <w:u w:color="000000"/>
        </w:rPr>
        <w:t>gruźlicy i chorób płuc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29) </w:t>
      </w:r>
      <w:r>
        <w:rPr>
          <w:color w:val="000000"/>
          <w:u w:color="000000"/>
        </w:rPr>
        <w:t>reumatologii,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30) </w:t>
      </w:r>
      <w:r>
        <w:rPr>
          <w:color w:val="000000"/>
          <w:u w:color="000000"/>
        </w:rPr>
        <w:t>reumatologii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31) </w:t>
      </w:r>
      <w:r>
        <w:rPr>
          <w:color w:val="000000"/>
          <w:u w:color="000000"/>
        </w:rPr>
        <w:t>chorób zakaźnych,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32) </w:t>
      </w:r>
      <w:r>
        <w:rPr>
          <w:color w:val="000000"/>
          <w:u w:color="000000"/>
        </w:rPr>
        <w:t>chorób zakaźnych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33) </w:t>
      </w:r>
      <w:r>
        <w:rPr>
          <w:color w:val="000000"/>
          <w:u w:color="000000"/>
        </w:rPr>
        <w:t>leczenia AIDS,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34) </w:t>
      </w:r>
      <w:r>
        <w:rPr>
          <w:color w:val="000000"/>
          <w:u w:color="000000"/>
        </w:rPr>
        <w:t>neonatologii,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35) </w:t>
      </w:r>
      <w:r>
        <w:rPr>
          <w:color w:val="000000"/>
          <w:u w:color="000000"/>
        </w:rPr>
        <w:t>ortopedii i traumatologii narządu ruchu,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36) </w:t>
      </w:r>
      <w:r>
        <w:rPr>
          <w:color w:val="000000"/>
          <w:u w:color="000000"/>
        </w:rPr>
        <w:t>ortopedii i traumatologii narządu ruchu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37) </w:t>
      </w:r>
      <w:r>
        <w:rPr>
          <w:color w:val="000000"/>
          <w:u w:color="000000"/>
        </w:rPr>
        <w:t>leczenia wad postawy u dzieci i młodzieży,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38) </w:t>
      </w:r>
      <w:r>
        <w:rPr>
          <w:color w:val="000000"/>
          <w:u w:color="000000"/>
        </w:rPr>
        <w:t>leczenia osteoporozy,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39) </w:t>
      </w:r>
      <w:r>
        <w:rPr>
          <w:color w:val="000000"/>
          <w:u w:color="000000"/>
        </w:rPr>
        <w:t>leczenia zeza,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40) </w:t>
      </w:r>
      <w:r>
        <w:rPr>
          <w:color w:val="000000"/>
          <w:u w:color="000000"/>
        </w:rPr>
        <w:t>audiologii i foniatrii,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41) </w:t>
      </w:r>
      <w:r>
        <w:rPr>
          <w:color w:val="000000"/>
          <w:u w:color="000000"/>
        </w:rPr>
        <w:t>logopedii,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42) </w:t>
      </w:r>
      <w:r>
        <w:rPr>
          <w:color w:val="000000"/>
          <w:u w:color="000000"/>
        </w:rPr>
        <w:t xml:space="preserve">leczenia </w:t>
      </w:r>
      <w:r>
        <w:rPr>
          <w:color w:val="000000"/>
          <w:u w:color="000000"/>
        </w:rPr>
        <w:t>mukowiscydozy,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43) </w:t>
      </w:r>
      <w:r>
        <w:rPr>
          <w:color w:val="000000"/>
          <w:u w:color="000000"/>
        </w:rPr>
        <w:t>rzadkich wrodzonych wad metabolizmu u dzieci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wyodrębnia się dla każdego skojarzonego zakresu świadczeń na rzecz pacjentów pierwszorazowych kwotę zobowiązania przeznaczoną wyłącznie na </w:t>
      </w:r>
      <w:r>
        <w:rPr>
          <w:color w:val="000000"/>
          <w:u w:color="000000"/>
        </w:rPr>
        <w:t>realizację grup świadczeń o kodzie rozpoczynającym się oznaczeniem W4 lub W5 w ramach Katalogu ambulatoryjnych grup świadczeń specjalistycznych, stanowiącego załącznik nr 5a do szczegółowych warunków umów oraz o kodzie rozpoczynającym się PS w ramach Katal</w:t>
      </w:r>
      <w:r>
        <w:rPr>
          <w:color w:val="000000"/>
          <w:u w:color="000000"/>
        </w:rPr>
        <w:t>ogu diagnostycznych pakietów specjalistycznych stanowiącego załącznik nr 5e do szczegółowych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W załączniku nr 1 do umowy, w odniesieniu do świadczeń udzielanych w poradniach specjalistycznych w zakresach: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chirurgii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ortop</w:t>
      </w:r>
      <w:r>
        <w:rPr>
          <w:color w:val="000000"/>
          <w:u w:color="000000"/>
        </w:rPr>
        <w:t>edii i traumatologii narządu ruchu,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ortopedii i traumatologii narządu ruchu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okulistyki,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okulistyki dla dzieci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wyodrębnia się dla każdego zakresu skojarzonego kwotę zobowiązania przezna</w:t>
      </w:r>
      <w:r>
        <w:rPr>
          <w:color w:val="000000"/>
          <w:u w:color="000000"/>
        </w:rPr>
        <w:t>czoną wyłącznie na realizację świadczeń ambulatoryjnej opieki ze wskazań nagłych (AON) realizowanych na warunkach określonych w zarządzeniu.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załączniku nr 1 do umowy, w odniesieniu do świadczeń udzielanych w poradniach specjalistycznych w zakresach: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diabetologii,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kardiologii,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położnictwa i ginekologii,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chirurgii ogólnej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wyodrębnia się dla każdego zakresu skojarzonego kwotę zobowiązania przeznaczoną wyłącznie na realizację świadczeń ambulat</w:t>
      </w:r>
      <w:r>
        <w:rPr>
          <w:color w:val="000000"/>
          <w:u w:color="000000"/>
        </w:rPr>
        <w:t>oryjnej opieki pielęgniarskiej lub położnej rozliczanej z wykorzystaniem grup o kodach: PPW oraz grup zabiegowych PZ wskazanych w </w:t>
      </w:r>
      <w:r>
        <w:rPr>
          <w:b/>
          <w:color w:val="000000"/>
          <w:u w:color="000000"/>
        </w:rPr>
        <w:t>załączniku nr 5a</w:t>
      </w:r>
      <w:r>
        <w:rPr>
          <w:color w:val="000000"/>
          <w:u w:color="000000"/>
        </w:rPr>
        <w:t xml:space="preserve"> do szczegółowych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W przypadku, gdy wartość wykonanych świadczeń, o których mowa w: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ust. </w:t>
      </w:r>
      <w:r>
        <w:rPr>
          <w:color w:val="000000"/>
          <w:u w:color="000000"/>
        </w:rPr>
        <w:t>7,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ust. 8 pkt 2 – w przypadku: ortopedii i traumatologii narządu ruchu,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ust. 9,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ust. 10 – w przypadku: endokrynologii, kardiologii, neurologii, ortopedii i traumatologii narządu ruchu,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ust. 11 – w przypadku: ortopedii i traumatologii narządu ru</w:t>
      </w:r>
      <w:r>
        <w:rPr>
          <w:color w:val="000000"/>
          <w:u w:color="000000"/>
        </w:rPr>
        <w:t>chu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przekroczy określoną dla nich kwotę zobowiązania Funduszu wobec Świadczeniodawcy, na wniosek Świadczeniodawcy składany po upływie kwartału, w którym nastąpiło to przekroczenie – odpowiedniemu zwiększen</w:t>
      </w:r>
      <w:r>
        <w:rPr>
          <w:color w:val="000000"/>
          <w:u w:color="000000"/>
        </w:rPr>
        <w:t>iu ulega liczba jednostek rozliczeniowych i kwota zobowiązania w skojarzonych zakresach świadczeń oraz odpowiednio kwota zobowiązania z tytułu realizacji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W przypadku, gdy wartość wykonanych świadczeń w zakresach: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alergologii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diabetologii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endokrynologii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gastroenterologii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onkologii i hematologii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6) </w:t>
      </w:r>
      <w:r>
        <w:rPr>
          <w:color w:val="000000"/>
          <w:u w:color="000000"/>
        </w:rPr>
        <w:t>kardiologii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nefrologii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neurologii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gruźlicy i chorób płuc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reumatol</w:t>
      </w:r>
      <w:r>
        <w:rPr>
          <w:color w:val="000000"/>
          <w:u w:color="000000"/>
        </w:rPr>
        <w:t>ogii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chorób zakaźnych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neonatologii,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ginekologii dla dziewcząt,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chirurgii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chirurgii onkologicznej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neurochirurgii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>ortopedii i traumatologii narządu ruchu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leczenia wad postawy u dzieci i młodzieży,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proofErr w:type="spellStart"/>
      <w:r>
        <w:rPr>
          <w:color w:val="000000"/>
          <w:u w:color="000000"/>
        </w:rPr>
        <w:t>preluksacji</w:t>
      </w:r>
      <w:proofErr w:type="spellEnd"/>
      <w:r>
        <w:rPr>
          <w:color w:val="000000"/>
          <w:u w:color="000000"/>
        </w:rPr>
        <w:t>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okulistyki dla 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otolaryngologii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urologii dziecięcej,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rzadkich wrodzonych wad metabolizmu u dzieci,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>pediatrii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oraz w skojarzonych do nich zakresach świadczeń, przekroczy określoną dla nich kwotę zobowiązania Funduszu wobec Świadczeniodawcy, na wniosek Świadczeniodawcy składany po upływie kwartału, w którym nastąpiło to przekroczenie – odpowiedniemu zwiększeniu </w:t>
      </w:r>
      <w:r>
        <w:rPr>
          <w:color w:val="000000"/>
          <w:u w:color="000000"/>
        </w:rPr>
        <w:t>ulega liczba jednostek rozliczeniowych i kwota zobowiązania z tytułu realizacji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Przy rozliczaniu świadczeń udzielanych świadczeniobiorcom poniżej 18. roku życia w zakresach niededykowanych dzieciom oraz w skojarzonych do nich zakresach </w:t>
      </w:r>
      <w:r>
        <w:rPr>
          <w:color w:val="000000"/>
          <w:u w:color="000000"/>
        </w:rPr>
        <w:t>świadczeń, po przekroczeniu wartości określonej na ich realizację w umowie, na wniosek Świadczeniodawcy składany po upływie kwartału, w którym nastąpiło to przekroczenie – odpowiedniemu zwiększeniu ulega liczba jednostek rozliczeniowych oraz kwota zobowiąz</w:t>
      </w:r>
      <w:r>
        <w:rPr>
          <w:color w:val="000000"/>
          <w:u w:color="000000"/>
        </w:rPr>
        <w:t>ania z tytułu realizacji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Przy rozliczaniu świadczeń udzielanych w zakresach innych niż wymienione w ust. 13 - 15, po przekroczeniu wartości określonej na ich realizację w umowie, na wniosek świadczeniodawcy składany po upływie kwartału, w którym</w:t>
      </w:r>
      <w:r>
        <w:rPr>
          <w:color w:val="000000"/>
          <w:u w:color="000000"/>
        </w:rPr>
        <w:t xml:space="preserve"> nastąpiło to przekroczenie, odpowiedniemu zwiększeniu ulega liczba jednostek rozliczeniowych oraz kwota zobowiązania z tytułu realizacji umowy.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Kwota zobowiązania, o której mowa w ust. 1, wypełnia zobowiązania Funduszu wynikające z postanowień art. 10</w:t>
      </w:r>
      <w:r>
        <w:rPr>
          <w:color w:val="000000"/>
          <w:u w:color="000000"/>
        </w:rPr>
        <w:t>f ustawy z dnia 22 lipca 2006 r. o przekazaniu środków finansowych świadczeniodawcom na wzrost wynagrodzeń (Dz. U. 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Należność za bieżący okres sprawozdawczy, określona w rachunku, ustalana jest zgodnie z zasadami określo</w:t>
      </w:r>
      <w:r>
        <w:rPr>
          <w:color w:val="000000"/>
          <w:u w:color="000000"/>
        </w:rPr>
        <w:t>nymi w Ogólnych warunkach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Rachunki z tytułu realizacji umowy Świadczeniodawca może przesłać w formie papierowej lub w formie elektronicznej poprzez Portal Narodowego Funduszu Zdrowia lub System Informatyczny Monitorowania Profilaktyki - w przypad</w:t>
      </w:r>
      <w:r>
        <w:rPr>
          <w:color w:val="000000"/>
          <w:u w:color="000000"/>
        </w:rPr>
        <w:t>ku świadczeń rozliczanych za pośrednictwem tej aplikacji, zgodnie z formatem ustalonym przez Prezesa Funduszu, pod warunkiem zapewnienia autentyczności pochodzenia, integralności treści i czytelności rachunku.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obowiązany do spraw</w:t>
      </w:r>
      <w:r>
        <w:rPr>
          <w:color w:val="000000"/>
          <w:u w:color="000000"/>
        </w:rPr>
        <w:t>ozdawania w raporcie statystycznym</w:t>
      </w:r>
      <w:r>
        <w:rPr>
          <w:color w:val="000000"/>
          <w:u w:color="000000"/>
        </w:rPr>
        <w:br/>
        <w:t>w szczególności następujących danych: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Statystycznej Klasyfikacji Chorób i Problemów Zdrowotnych – Rewizja Dziesiąta (ICD-10),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procedur medycznych według Międzynarodowej Klasyfikacji </w:t>
      </w:r>
      <w:r>
        <w:rPr>
          <w:color w:val="000000"/>
          <w:u w:color="000000"/>
        </w:rPr>
        <w:t>Procedur Medycznych</w:t>
      </w:r>
      <w:r>
        <w:rPr>
          <w:color w:val="000000"/>
          <w:u w:color="000000"/>
        </w:rPr>
        <w:br/>
        <w:t>(ICD-9)</w:t>
      </w:r>
    </w:p>
    <w:p w:rsidR="006314A9" w:rsidRDefault="0074212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 wersjach wskazanych przez Fundusz na dany okres sprawozdawczy.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 z przyczyn leżących po stronie Św</w:t>
      </w:r>
      <w:r>
        <w:rPr>
          <w:color w:val="000000"/>
          <w:u w:color="000000"/>
        </w:rPr>
        <w:t>iadczeniodawcy, Fundusz może nałożyć na Świadczeniodawcę karę umowną.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na leki, środki spożywcze specjalnego przeznaczenia żywieniowego i wyroby medyczne objęte refundacją, osobom nieuprawnionym lub przez osobę niebędącą os</w:t>
      </w:r>
      <w:r>
        <w:rPr>
          <w:color w:val="000000"/>
          <w:u w:color="000000"/>
        </w:rPr>
        <w:t>obą uprawnioną, lub w przypadkach nieuzasadnionych, Fundusz może nałożyć na Świadczeniodawcę karę umowną stanowiącą równowartość nienależnej refundacji cen tych leków, środków spożywczych specjalnego przeznaczenia żywieniowego i wyrobów medycznych, wraz z </w:t>
      </w:r>
      <w:r>
        <w:rPr>
          <w:color w:val="000000"/>
          <w:u w:color="000000"/>
        </w:rPr>
        <w:t>odsetkami ustawowymi od dnia dokonania refundacji.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wydanych na podstawie art. 38 ust. 4 ustawy z dnia 12 maja 2011 r. o refundacji leków, środków spożywc</w:t>
      </w:r>
      <w:r>
        <w:rPr>
          <w:color w:val="000000"/>
          <w:u w:color="000000"/>
        </w:rPr>
        <w:t>zych specjalnego przeznaczenia żywieniowego oraz wyrobów medycznych (Dz.U. z 2024 r. poz. 930), finansowanych w całości lub w części przez Fundusz, osobom nieuprawnionym lub w przypadkach nieuzasadnionych, Fundusz może nałożyć na Świadczeniodawcę karę umow</w:t>
      </w:r>
      <w:r>
        <w:rPr>
          <w:color w:val="000000"/>
          <w:u w:color="000000"/>
        </w:rPr>
        <w:t>ną stanowiącą równowartość kwoty nienależnego finansowania, wraz z odsetkami ustawowymi od dnia dokonania refundacji.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</w:t>
      </w:r>
      <w:r>
        <w:rPr>
          <w:color w:val="000000"/>
          <w:u w:color="000000"/>
        </w:rPr>
        <w:t>liwości realizacji uprawnień świadczeniobiorców wynikających z art. 50 ust. 3 ustawy o świadczeniach, Fundusz może nałożyć na Świadczeniodawcę karę umowną w wysokości do 1% kwoty zobowiązania określonej w umowie.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</w:t>
      </w:r>
      <w:r>
        <w:rPr>
          <w:color w:val="000000"/>
          <w:u w:color="000000"/>
        </w:rPr>
        <w:t>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</w:t>
      </w:r>
      <w:r>
        <w:rPr>
          <w:color w:val="000000"/>
          <w:u w:color="000000"/>
        </w:rPr>
        <w:t>ych środków.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1 - 5, nakładane są w trybie i na zasadach określonych w Ogólnych warunkach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</w:t>
      </w:r>
      <w:r>
        <w:rPr>
          <w:b/>
        </w:rPr>
        <w:t> 7.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6314A9" w:rsidRDefault="0074212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 xml:space="preserve">Sądami właściwymi dla rozpoznawania spraw spornych między stronami umowy </w:t>
      </w:r>
      <w:r>
        <w:rPr>
          <w:color w:val="000000"/>
          <w:u w:color="000000"/>
        </w:rPr>
        <w:t>są sądy powszechne właściwe dla siedziby oddziału wojewódzkiego Funduszu.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6314A9" w:rsidRDefault="0074212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 xml:space="preserve">Umowę sporządzono </w:t>
      </w:r>
      <w:r>
        <w:rPr>
          <w:color w:val="000000"/>
          <w:u w:color="000000"/>
        </w:rPr>
        <w:t>w dwóch jednobrzmiących egzemplarzach, po jednym dla każdej ze stron.</w:t>
      </w:r>
    </w:p>
    <w:p w:rsidR="006314A9" w:rsidRDefault="0074212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umowy: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załącznik nr 3 do umowy</w:t>
      </w:r>
      <w:r>
        <w:rPr>
          <w:color w:val="000000"/>
          <w:u w:color="000000"/>
        </w:rPr>
        <w:t xml:space="preserve"> – Wykaz podwykonawców;</w:t>
      </w:r>
    </w:p>
    <w:p w:rsidR="006314A9" w:rsidRDefault="0074212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za</w:t>
      </w:r>
      <w:r>
        <w:rPr>
          <w:b/>
          <w:color w:val="000000"/>
          <w:u w:color="000000"/>
        </w:rPr>
        <w:t>łącznik nr 4 do umowy</w:t>
      </w:r>
      <w:r>
        <w:rPr>
          <w:color w:val="000000"/>
          <w:u w:color="000000"/>
        </w:rPr>
        <w:t xml:space="preserve"> – Wzór wniosku w sprawie zmiany rachunku bankowego.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6"/>
        <w:gridCol w:w="5046"/>
      </w:tblGrid>
      <w:tr w:rsidR="006314A9">
        <w:trPr>
          <w:trHeight w:val="825"/>
        </w:trPr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PODPISY STRON</w:t>
            </w:r>
          </w:p>
        </w:tc>
      </w:tr>
      <w:tr w:rsidR="006314A9">
        <w:trPr>
          <w:trHeight w:val="705"/>
        </w:trPr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6314A9"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6314A9"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314A9" w:rsidRDefault="0074212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6314A9" w:rsidRDefault="006314A9">
      <w:pPr>
        <w:rPr>
          <w:color w:val="000000"/>
          <w:u w:color="000000"/>
        </w:rPr>
      </w:pPr>
    </w:p>
    <w:sectPr w:rsidR="006314A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A9"/>
    <w:rsid w:val="006314A9"/>
    <w:rsid w:val="0074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9A413-D538-40F8-B7BD-5A9D228B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2975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2025-01-02T08:04:00Z</dcterms:created>
  <dcterms:modified xsi:type="dcterms:W3CDTF">2025-01-02T08:04:00Z</dcterms:modified>
  <cp:category>Akt prawny</cp:category>
</cp:coreProperties>
</file>