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C84" w:rsidRDefault="001C47C9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 do zarządzenia Nr 10/2025/DSOZ</w:t>
      </w:r>
      <w:r>
        <w:br/>
        <w:t>Prezesa Narodowego Funduszu Zdrowia</w:t>
      </w:r>
      <w:r>
        <w:br/>
        <w:t>z dnia 3 lutego 2025 r.</w:t>
      </w:r>
    </w:p>
    <w:p w:rsidR="00074C84" w:rsidRDefault="001C47C9">
      <w:pPr>
        <w:keepNext/>
        <w:spacing w:after="480"/>
        <w:jc w:val="center"/>
      </w:pPr>
      <w:r>
        <w:rPr>
          <w:b/>
        </w:rPr>
        <w:t>Katalog zakresów świadczeń w rodzaju świadczenia zdrowotne kontraktowane odrębnie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"/>
        <w:gridCol w:w="1335"/>
        <w:gridCol w:w="1395"/>
        <w:gridCol w:w="1440"/>
        <w:gridCol w:w="1575"/>
        <w:gridCol w:w="1095"/>
        <w:gridCol w:w="795"/>
        <w:gridCol w:w="1260"/>
        <w:gridCol w:w="1035"/>
        <w:gridCol w:w="1305"/>
        <w:gridCol w:w="1065"/>
        <w:gridCol w:w="2265"/>
      </w:tblGrid>
      <w:tr w:rsidR="00074C84">
        <w:trPr>
          <w:trHeight w:val="255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b/>
                <w:sz w:val="20"/>
              </w:rPr>
              <w:t>Lp. 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b/>
                <w:sz w:val="20"/>
              </w:rPr>
              <w:t>kod zakresu 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b/>
                <w:sz w:val="20"/>
              </w:rPr>
              <w:t>nazwa zakresu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b/>
                <w:sz w:val="20"/>
              </w:rPr>
              <w:t>kod produktu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b/>
                <w:sz w:val="20"/>
              </w:rPr>
              <w:t>nazwa produktu 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b/>
                <w:sz w:val="20"/>
              </w:rPr>
              <w:t>jednostka rozliczeniowa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b/>
                <w:sz w:val="20"/>
              </w:rPr>
              <w:t xml:space="preserve">Taryfa ustalona przez </w:t>
            </w:r>
            <w:proofErr w:type="spellStart"/>
            <w:r>
              <w:rPr>
                <w:b/>
                <w:sz w:val="20"/>
              </w:rPr>
              <w:t>AOTMiT</w:t>
            </w:r>
            <w:proofErr w:type="spellEnd"/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b/>
                <w:sz w:val="20"/>
              </w:rPr>
              <w:t>Wartość punktowa produktu rozliczeniowego</w:t>
            </w:r>
          </w:p>
        </w:tc>
        <w:tc>
          <w:tcPr>
            <w:tcW w:w="34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b/>
                <w:sz w:val="20"/>
              </w:rPr>
              <w:t>warunki wykonania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b/>
                <w:sz w:val="20"/>
              </w:rPr>
              <w:t>uwagi </w:t>
            </w:r>
          </w:p>
        </w:tc>
      </w:tr>
      <w:tr w:rsidR="00074C84">
        <w:trPr>
          <w:trHeight w:val="225"/>
        </w:trPr>
        <w:tc>
          <w:tcPr>
            <w:tcW w:w="450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b/>
                <w:sz w:val="20"/>
              </w:rPr>
              <w:t>świadczenie wykonywane w warunkach domowych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b/>
                <w:sz w:val="20"/>
              </w:rPr>
              <w:t>świadczenie wykonywane w trybie ambulatoryjnym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b/>
                <w:sz w:val="20"/>
              </w:rPr>
              <w:t xml:space="preserve">świadczenie wykonywane w trybie </w:t>
            </w:r>
            <w:r>
              <w:rPr>
                <w:b/>
                <w:sz w:val="20"/>
              </w:rPr>
              <w:t>hospitalizacji</w:t>
            </w:r>
          </w:p>
        </w:tc>
        <w:tc>
          <w:tcPr>
            <w:tcW w:w="226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</w:tr>
      <w:tr w:rsidR="00074C84">
        <w:trPr>
          <w:trHeight w:val="6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i/>
                <w:sz w:val="20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i/>
                <w:sz w:val="20"/>
              </w:rPr>
              <w:t>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i/>
                <w:sz w:val="2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i/>
                <w:sz w:val="20"/>
              </w:rPr>
              <w:t>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i/>
                <w:sz w:val="20"/>
              </w:rPr>
              <w:t>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i/>
                <w:sz w:val="20"/>
              </w:rPr>
              <w:t>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i/>
                <w:sz w:val="20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i/>
                <w:sz w:val="20"/>
              </w:rPr>
              <w:t>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i/>
                <w:sz w:val="20"/>
              </w:rPr>
              <w:t>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i/>
                <w:sz w:val="20"/>
              </w:rPr>
              <w:t>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i/>
                <w:sz w:val="20"/>
              </w:rPr>
              <w:t>11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i/>
                <w:sz w:val="20"/>
              </w:rPr>
              <w:t>12</w:t>
            </w:r>
          </w:p>
        </w:tc>
      </w:tr>
      <w:tr w:rsidR="00074C84">
        <w:trPr>
          <w:trHeight w:val="432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11.4132.001.02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dializoterapia otrzewnowa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5.10.00.0000051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dializa otrzewnowa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19,4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228,36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za osobodzień, obejmuje pełne koszty i badania dodatkowe, w tym środki stymulujące erytropoezę</w:t>
            </w:r>
          </w:p>
        </w:tc>
      </w:tr>
      <w:tr w:rsidR="00074C84">
        <w:trPr>
          <w:trHeight w:val="36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133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11.4132.002.12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proofErr w:type="spellStart"/>
            <w:r>
              <w:rPr>
                <w:sz w:val="20"/>
              </w:rPr>
              <w:t>hemodializoterapia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5.10.00.0000091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hemodializa - świadczenie wykonywane w trybie ambulatoryjnym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34,82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409,93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276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5.10.00.0000153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proofErr w:type="spellStart"/>
            <w:r>
              <w:rPr>
                <w:sz w:val="20"/>
              </w:rPr>
              <w:t>Hemodiafiltracja</w:t>
            </w:r>
            <w:proofErr w:type="spellEnd"/>
            <w:r>
              <w:rPr>
                <w:sz w:val="20"/>
              </w:rPr>
              <w:t xml:space="preserve"> (HDF)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418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418,00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396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4</w:t>
            </w:r>
          </w:p>
        </w:tc>
        <w:tc>
          <w:tcPr>
            <w:tcW w:w="133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11.4132.003.12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proofErr w:type="spellStart"/>
            <w:r>
              <w:rPr>
                <w:sz w:val="20"/>
              </w:rPr>
              <w:t>hemodializoterapia</w:t>
            </w:r>
            <w:proofErr w:type="spellEnd"/>
            <w:r>
              <w:rPr>
                <w:sz w:val="20"/>
              </w:rPr>
              <w:t xml:space="preserve"> -  z zapewnieniem </w:t>
            </w:r>
            <w:r>
              <w:rPr>
                <w:sz w:val="20"/>
              </w:rPr>
              <w:t>24-godzinnego dyżuru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5.10.00.0000092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 xml:space="preserve">hemodializa – świadczenie wykonywane w trybie ambulatoryjnym z zapewnieniem 24-godzinnego dyżuru oraz z dostępem do oddziału </w:t>
            </w:r>
            <w:r>
              <w:rPr>
                <w:sz w:val="20"/>
              </w:rPr>
              <w:lastRenderedPageBreak/>
              <w:t>nefrologii lub o profilu nefrologicznym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38,58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454,20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276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5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5.10.00.0000153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proofErr w:type="spellStart"/>
            <w:r>
              <w:rPr>
                <w:sz w:val="20"/>
              </w:rPr>
              <w:t>Hemodiafiltracja</w:t>
            </w:r>
            <w:proofErr w:type="spellEnd"/>
            <w:r>
              <w:rPr>
                <w:sz w:val="20"/>
              </w:rPr>
              <w:t xml:space="preserve"> (HDF)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440,97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828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6</w:t>
            </w:r>
          </w:p>
        </w:tc>
        <w:tc>
          <w:tcPr>
            <w:tcW w:w="133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11.9800.041.02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terapia hiperbaryczna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5.10.00.0000151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Terapia hiperbaryczna (1 sprężenie u 1 pacjenta) – z zapewnieniem 24h dostępności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520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520,00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828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7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5.10.00.0000152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 xml:space="preserve">Terapia hiperbaryczna (1 </w:t>
            </w:r>
            <w:r>
              <w:rPr>
                <w:sz w:val="20"/>
              </w:rPr>
              <w:t>sprężenie u 1 pacjenta) – bez zapewnienia 24h dostępności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360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360,00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552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11.2150.042.02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tlenoterapia domowa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5.10.00.0000006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tlenoterapia w warunkach domowych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11,49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za osobodzień, w tym koszt środków technicznych;</w:t>
            </w:r>
          </w:p>
        </w:tc>
      </w:tr>
      <w:tr w:rsidR="00074C84">
        <w:trPr>
          <w:trHeight w:val="552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9</w:t>
            </w:r>
          </w:p>
        </w:tc>
        <w:tc>
          <w:tcPr>
            <w:tcW w:w="133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11.0000.047.02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żywienie pozajelitowe w warunkach domowych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5.10.00.0000007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żywienie pozajelitowe dorosłych w warunkach domowych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230,00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za osobodzień,</w:t>
            </w:r>
          </w:p>
        </w:tc>
      </w:tr>
      <w:tr w:rsidR="00074C84">
        <w:trPr>
          <w:trHeight w:val="552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10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5.10.00.0000008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żywienie pozajelitowe dzieci w warunkach domowych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402,00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</w:tr>
      <w:tr w:rsidR="00074C84">
        <w:trPr>
          <w:trHeight w:val="36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11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11.0000.048.02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C84" w:rsidRDefault="001C47C9">
            <w:pPr>
              <w:jc w:val="left"/>
            </w:pPr>
            <w:r>
              <w:rPr>
                <w:sz w:val="20"/>
              </w:rPr>
              <w:t>żywienie dojelitowe w warunkach domowych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5.10.00.0000050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żywienie dojelitowe w warunkach domowych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92,00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</w:tr>
      <w:tr w:rsidR="00074C84">
        <w:trPr>
          <w:trHeight w:val="408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12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11.1210.052.12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badania zgodności tkankowej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5.10.00.0000016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 xml:space="preserve">badanie antygenów zgodności tkankowej przy typowaniu dawców szpiku </w:t>
            </w:r>
            <w:r>
              <w:rPr>
                <w:sz w:val="20"/>
              </w:rPr>
              <w:lastRenderedPageBreak/>
              <w:t xml:space="preserve">lub </w:t>
            </w:r>
            <w:r>
              <w:rPr>
                <w:sz w:val="20"/>
              </w:rPr>
              <w:t>komórek krwiotwórczych albo żywych dawców wątroby lub nerki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lastRenderedPageBreak/>
              <w:t>świadczenie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66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13</w:t>
            </w:r>
          </w:p>
        </w:tc>
        <w:tc>
          <w:tcPr>
            <w:tcW w:w="133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11.1210.053.02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badania genetyczne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5.10.00.0000041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kompleksowa diagnostyka genetyczna chorób nowotworowych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532,51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492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14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5.10.00.0000043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 xml:space="preserve">kompleksowa diagnostyka </w:t>
            </w:r>
            <w:r>
              <w:rPr>
                <w:sz w:val="20"/>
              </w:rPr>
              <w:t>genetyczna chorób nienowotworowych z uwzględnieniem cytogenetycznych badań molekularnych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1 065,02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24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15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5.10.00.0000047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 xml:space="preserve">diagnostyka cukrzycy </w:t>
            </w:r>
            <w:proofErr w:type="spellStart"/>
            <w:r>
              <w:rPr>
                <w:sz w:val="20"/>
              </w:rPr>
              <w:t>monogenowej</w:t>
            </w:r>
            <w:proofErr w:type="spellEnd"/>
            <w:r>
              <w:rPr>
                <w:sz w:val="20"/>
              </w:rPr>
              <w:t xml:space="preserve"> - badania genetyczne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2 154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2 154,00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24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16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t>5.10.00.0000233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 xml:space="preserve">Badanie genetyczne </w:t>
            </w:r>
            <w:r>
              <w:rPr>
                <w:sz w:val="20"/>
              </w:rPr>
              <w:t xml:space="preserve">metodą porównawczej hybrydyzacji genomowej do </w:t>
            </w:r>
            <w:proofErr w:type="spellStart"/>
            <w:r>
              <w:rPr>
                <w:sz w:val="20"/>
              </w:rPr>
              <w:t>mikromacierzy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aCGH</w:t>
            </w:r>
            <w:proofErr w:type="spellEnd"/>
            <w:r>
              <w:rPr>
                <w:sz w:val="20"/>
              </w:rPr>
              <w:t xml:space="preserve"> – </w:t>
            </w:r>
            <w:proofErr w:type="spellStart"/>
            <w:r>
              <w:rPr>
                <w:sz w:val="20"/>
              </w:rPr>
              <w:t>Array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Comparative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Genomic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Hybridization</w:t>
            </w:r>
            <w:proofErr w:type="spellEnd"/>
            <w:r>
              <w:rPr>
                <w:sz w:val="20"/>
              </w:rPr>
              <w:t>) z równoczesną hodowlą komórkową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1113,40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24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lastRenderedPageBreak/>
              <w:t>17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t>5.10.00.0000234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 xml:space="preserve">Badanie genetyczne metodą porównawczej hybrydyzacji genomowej do </w:t>
            </w:r>
            <w:proofErr w:type="spellStart"/>
            <w:r>
              <w:rPr>
                <w:sz w:val="20"/>
              </w:rPr>
              <w:t>mikromacierzy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aCGH</w:t>
            </w:r>
            <w:proofErr w:type="spellEnd"/>
            <w:r>
              <w:rPr>
                <w:sz w:val="20"/>
              </w:rPr>
              <w:t xml:space="preserve"> – </w:t>
            </w:r>
            <w:proofErr w:type="spellStart"/>
            <w:r>
              <w:rPr>
                <w:sz w:val="20"/>
              </w:rPr>
              <w:t>Array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Comparative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Genomic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Hybridization</w:t>
            </w:r>
            <w:proofErr w:type="spellEnd"/>
            <w:r>
              <w:rPr>
                <w:sz w:val="20"/>
              </w:rPr>
              <w:t xml:space="preserve">) z wykorzystaniem </w:t>
            </w:r>
            <w:proofErr w:type="spellStart"/>
            <w:r>
              <w:rPr>
                <w:sz w:val="20"/>
              </w:rPr>
              <w:t>mikromacierzy</w:t>
            </w:r>
            <w:proofErr w:type="spellEnd"/>
            <w:r>
              <w:rPr>
                <w:sz w:val="20"/>
              </w:rPr>
              <w:t xml:space="preserve"> o niskiej rozdzielczości (równej lub powyżej 60 tysięcy/ 60k sond)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921,80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24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18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t>5.10.00.0000235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 xml:space="preserve">Badanie genetyczne metodą porównawczej hybrydyzacji </w:t>
            </w:r>
            <w:r>
              <w:rPr>
                <w:sz w:val="20"/>
              </w:rPr>
              <w:t xml:space="preserve">genomowej do </w:t>
            </w:r>
            <w:proofErr w:type="spellStart"/>
            <w:r>
              <w:rPr>
                <w:sz w:val="20"/>
              </w:rPr>
              <w:t>mikromacierzy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aCGH</w:t>
            </w:r>
            <w:proofErr w:type="spellEnd"/>
            <w:r>
              <w:rPr>
                <w:sz w:val="20"/>
              </w:rPr>
              <w:t xml:space="preserve"> – </w:t>
            </w:r>
            <w:proofErr w:type="spellStart"/>
            <w:r>
              <w:rPr>
                <w:sz w:val="20"/>
              </w:rPr>
              <w:t>Array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Comparative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Genomic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Hybridization</w:t>
            </w:r>
            <w:proofErr w:type="spellEnd"/>
            <w:r>
              <w:rPr>
                <w:sz w:val="20"/>
              </w:rPr>
              <w:t xml:space="preserve">) z wykorzystaniem </w:t>
            </w:r>
            <w:proofErr w:type="spellStart"/>
            <w:r>
              <w:rPr>
                <w:sz w:val="20"/>
              </w:rPr>
              <w:t>mikromacierzy</w:t>
            </w:r>
            <w:proofErr w:type="spellEnd"/>
            <w:r>
              <w:rPr>
                <w:sz w:val="20"/>
              </w:rPr>
              <w:t xml:space="preserve"> o wysokiej rozdzielczości (równej lub powyżej 180 tysięcy/ 180k sond)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1377,10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24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19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t>5.10.00.0000236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 xml:space="preserve">Analiza ekspresji jednego genu (w </w:t>
            </w:r>
            <w:r>
              <w:rPr>
                <w:sz w:val="20"/>
              </w:rPr>
              <w:lastRenderedPageBreak/>
              <w:t>tym</w:t>
            </w:r>
            <w:r>
              <w:rPr>
                <w:sz w:val="20"/>
              </w:rPr>
              <w:t xml:space="preserve"> genu fuzyjnego) przy użyciu metody Real-Time PCR – ilościowa reakcja łańcuchowa polimerazy w czasie rzeczywistym (</w:t>
            </w:r>
            <w:proofErr w:type="spellStart"/>
            <w:r>
              <w:rPr>
                <w:sz w:val="20"/>
              </w:rPr>
              <w:t>qRT</w:t>
            </w:r>
            <w:proofErr w:type="spellEnd"/>
            <w:r>
              <w:rPr>
                <w:sz w:val="20"/>
              </w:rPr>
              <w:t xml:space="preserve">-PCR – Real-Time </w:t>
            </w:r>
            <w:proofErr w:type="spellStart"/>
            <w:r>
              <w:rPr>
                <w:sz w:val="20"/>
              </w:rPr>
              <w:t>Quantitative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Polymerase</w:t>
            </w:r>
            <w:proofErr w:type="spellEnd"/>
            <w:r>
              <w:rPr>
                <w:sz w:val="20"/>
              </w:rPr>
              <w:t xml:space="preserve"> Chain </w:t>
            </w:r>
            <w:proofErr w:type="spellStart"/>
            <w:r>
              <w:rPr>
                <w:sz w:val="20"/>
              </w:rPr>
              <w:t>Reaction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392,70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t xml:space="preserve">do rozliczenia niezbędne jest </w:t>
            </w:r>
            <w:r>
              <w:lastRenderedPageBreak/>
              <w:t xml:space="preserve">sprawozdanie jednego z produktów </w:t>
            </w:r>
            <w:r>
              <w:t>z przedziału</w:t>
            </w:r>
            <w:r>
              <w:br/>
              <w:t>5.10.00.0000238 - 5.10.00.0000257</w:t>
            </w:r>
          </w:p>
        </w:tc>
      </w:tr>
      <w:tr w:rsidR="00074C84">
        <w:trPr>
          <w:trHeight w:val="24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lastRenderedPageBreak/>
              <w:t>20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t>5.10.00.0000237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Analiza ekspresji dwóch i więcej genów (w tym genów fuzyjnych) przy użyciu metody Real-Time PCR – ilościowa reakcja łańcuchowa polimerazy w czasie rzeczywistym (</w:t>
            </w:r>
            <w:proofErr w:type="spellStart"/>
            <w:r>
              <w:rPr>
                <w:sz w:val="20"/>
              </w:rPr>
              <w:t>qRT</w:t>
            </w:r>
            <w:proofErr w:type="spellEnd"/>
            <w:r>
              <w:rPr>
                <w:sz w:val="20"/>
              </w:rPr>
              <w:t xml:space="preserve">-PCR – Real-Time </w:t>
            </w:r>
            <w:proofErr w:type="spellStart"/>
            <w:r>
              <w:rPr>
                <w:sz w:val="20"/>
              </w:rPr>
              <w:t>Quantitative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Polymerase</w:t>
            </w:r>
            <w:proofErr w:type="spellEnd"/>
            <w:r>
              <w:rPr>
                <w:sz w:val="20"/>
              </w:rPr>
              <w:t xml:space="preserve"> Chain </w:t>
            </w:r>
            <w:proofErr w:type="spellStart"/>
            <w:r>
              <w:rPr>
                <w:sz w:val="20"/>
              </w:rPr>
              <w:t>Reaction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830,70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t>do rozliczenia niezbędne jest sprawozdanie co najmniej dwóch produktów z przedziału 5.10.00.0000238 - 5.10.00.0000257</w:t>
            </w:r>
          </w:p>
        </w:tc>
      </w:tr>
      <w:tr w:rsidR="00074C84">
        <w:trPr>
          <w:trHeight w:val="24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21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t>5.10.00.0000238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 xml:space="preserve">Diagnostyka w kierunku rozpoznawania genów fuzyjnych </w:t>
            </w:r>
            <w:r>
              <w:rPr>
                <w:sz w:val="20"/>
              </w:rPr>
              <w:t xml:space="preserve">BCR::ABL1 lub chromosomu Philadelphia </w:t>
            </w:r>
            <w:r>
              <w:rPr>
                <w:sz w:val="20"/>
              </w:rPr>
              <w:lastRenderedPageBreak/>
              <w:t>(</w:t>
            </w:r>
            <w:proofErr w:type="spellStart"/>
            <w:r>
              <w:rPr>
                <w:sz w:val="20"/>
              </w:rPr>
              <w:t>Ph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lastRenderedPageBreak/>
              <w:t>Produkt statystyczny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24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22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t>5.10.00.0000239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Diagnostyka w kierunku rozpoznawania genów fuzyjnych PML::RARA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C84" w:rsidRDefault="001C47C9">
            <w:pPr>
              <w:jc w:val="center"/>
            </w:pPr>
            <w:r>
              <w:rPr>
                <w:sz w:val="20"/>
              </w:rPr>
              <w:t>Produkt statystyczny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24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23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t>5.10.00.0000240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 xml:space="preserve">Diagnostyka w kierunku rozpoznawania genów </w:t>
            </w:r>
            <w:r>
              <w:rPr>
                <w:sz w:val="20"/>
              </w:rPr>
              <w:t>fuzyjnych RUNX1::RUNX1T1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Produkt statystyczny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24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24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t>5.10.00.0000241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Diagnostyka w kierunku rozpoznawania genów fuzyjnych CBFB::MYH11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Produkt statystyczny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24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25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t>5.10.00.0000242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Diagnostyka w kierunku rozpoznawania mutacji NPM1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 xml:space="preserve">Produkt </w:t>
            </w:r>
            <w:r>
              <w:rPr>
                <w:sz w:val="20"/>
              </w:rPr>
              <w:t>statystyczny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24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26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t>5.10.00.0000243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 xml:space="preserve">Monitorowanie odpowiedzi na zastosowaną terapię oraz ocena chimeryzmu </w:t>
            </w:r>
            <w:proofErr w:type="spellStart"/>
            <w:r>
              <w:rPr>
                <w:sz w:val="20"/>
              </w:rPr>
              <w:t>poprzeszczepowego</w:t>
            </w:r>
            <w:proofErr w:type="spellEnd"/>
            <w:r>
              <w:rPr>
                <w:sz w:val="20"/>
              </w:rPr>
              <w:t xml:space="preserve"> u pacjentów poddanych transplantacji allogenicznych krwiotwórczych komórek macierzystych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Produkt statystyczny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24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27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t>5.10.00.0000244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 xml:space="preserve">Monitorowanie minimalnej </w:t>
            </w:r>
            <w:r>
              <w:rPr>
                <w:sz w:val="20"/>
              </w:rPr>
              <w:lastRenderedPageBreak/>
              <w:t xml:space="preserve">choroby resztkowej, które obejmuje identyfikację </w:t>
            </w:r>
            <w:proofErr w:type="spellStart"/>
            <w:r>
              <w:rPr>
                <w:sz w:val="20"/>
              </w:rPr>
              <w:t>rearanżacji</w:t>
            </w:r>
            <w:proofErr w:type="spellEnd"/>
            <w:r>
              <w:rPr>
                <w:sz w:val="20"/>
              </w:rPr>
              <w:t xml:space="preserve"> genów do monitorowania PCR MRD ALL: ALL MRD-PCR1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lastRenderedPageBreak/>
              <w:t>Produkt statystycz</w:t>
            </w:r>
            <w:r>
              <w:rPr>
                <w:sz w:val="20"/>
              </w:rPr>
              <w:lastRenderedPageBreak/>
              <w:t>ny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24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28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t>5.10.00.0000245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 xml:space="preserve">Monitorowanie minimalnej choroby resztkowej, które </w:t>
            </w:r>
            <w:r>
              <w:rPr>
                <w:sz w:val="20"/>
              </w:rPr>
              <w:t xml:space="preserve">obejmuje identyfikację </w:t>
            </w:r>
            <w:proofErr w:type="spellStart"/>
            <w:r>
              <w:rPr>
                <w:sz w:val="20"/>
              </w:rPr>
              <w:t>rearanżacji</w:t>
            </w:r>
            <w:proofErr w:type="spellEnd"/>
            <w:r>
              <w:rPr>
                <w:sz w:val="20"/>
              </w:rPr>
              <w:t xml:space="preserve"> genów do monitorowania PCR MRD ALL: ALL-MRD-PCR2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Produkt statystyczny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24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2</w:t>
            </w:r>
            <w:r>
              <w:rPr>
                <w:sz w:val="20"/>
              </w:rPr>
              <w:t>9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t>5.10.00.0000246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Monitorowanie minimalnej choroby resztkowej, które obejmuje oznaczenie MRD metodą PCR w ALL: ALL-MRD-PCR1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 xml:space="preserve">Produkt </w:t>
            </w:r>
            <w:r>
              <w:rPr>
                <w:sz w:val="20"/>
              </w:rPr>
              <w:t>statystyczny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24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30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t>5.10.00.0000247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 xml:space="preserve">Monitorowanie minimalnej choroby resztkowej, które obejmuje oznaczenie MRD metodą PCR w ALL: ALL-MRD- </w:t>
            </w:r>
            <w:r>
              <w:rPr>
                <w:sz w:val="20"/>
              </w:rPr>
              <w:lastRenderedPageBreak/>
              <w:t>PCR2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lastRenderedPageBreak/>
              <w:t>Produkt statystyczny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24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31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t>5.10.00.0000248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 xml:space="preserve">Monitorowanie minimalnej choroby resztkowej, które </w:t>
            </w:r>
            <w:r>
              <w:rPr>
                <w:sz w:val="20"/>
              </w:rPr>
              <w:t xml:space="preserve">obejmuje diagnostykę molekularną AML i oznaczenie wyjściowego poziomu badanego </w:t>
            </w:r>
            <w:proofErr w:type="spellStart"/>
            <w:r>
              <w:rPr>
                <w:sz w:val="20"/>
              </w:rPr>
              <w:t>transkryptu</w:t>
            </w:r>
            <w:proofErr w:type="spellEnd"/>
            <w:r>
              <w:rPr>
                <w:sz w:val="20"/>
              </w:rPr>
              <w:t xml:space="preserve"> do monitorowania MRD - PML::RARA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Produkt statystyczny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24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32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t>5.10.00.0000249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 xml:space="preserve">Monitorowanie minimalnej choroby resztkowej, które obejmuje diagnostykę </w:t>
            </w:r>
            <w:r>
              <w:rPr>
                <w:sz w:val="20"/>
              </w:rPr>
              <w:t xml:space="preserve">molekularną AML i oznaczenie wyjściowego poziomu badanego </w:t>
            </w:r>
            <w:proofErr w:type="spellStart"/>
            <w:r>
              <w:rPr>
                <w:sz w:val="20"/>
              </w:rPr>
              <w:t>transkryptu</w:t>
            </w:r>
            <w:proofErr w:type="spellEnd"/>
            <w:r>
              <w:rPr>
                <w:sz w:val="20"/>
              </w:rPr>
              <w:t xml:space="preserve"> do monitorowania MRD - RUNX1::RUNX1T1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Produkt statystyczny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24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33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t>5.10.00.0000250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 xml:space="preserve">Monitorowanie minimalnej choroby resztkowej, które obejmuje diagnostykę molekularną </w:t>
            </w:r>
            <w:r>
              <w:rPr>
                <w:sz w:val="20"/>
              </w:rPr>
              <w:lastRenderedPageBreak/>
              <w:t xml:space="preserve">AML i </w:t>
            </w:r>
            <w:r>
              <w:rPr>
                <w:sz w:val="20"/>
              </w:rPr>
              <w:t xml:space="preserve">oznaczenie wyjściowego poziomu badanego </w:t>
            </w:r>
            <w:proofErr w:type="spellStart"/>
            <w:r>
              <w:rPr>
                <w:sz w:val="20"/>
              </w:rPr>
              <w:t>transkryptu</w:t>
            </w:r>
            <w:proofErr w:type="spellEnd"/>
            <w:r>
              <w:rPr>
                <w:sz w:val="20"/>
              </w:rPr>
              <w:t xml:space="preserve"> do monitorowania MRD - CBFB::MYH11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lastRenderedPageBreak/>
              <w:t>Produkt statystyczny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24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34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t>5.10.00.0000251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 xml:space="preserve">Monitorowanie minimalnej choroby resztkowej, które obejmuje diagnostykę molekularną AML i oznaczenie wyjściowego </w:t>
            </w:r>
            <w:r>
              <w:rPr>
                <w:sz w:val="20"/>
              </w:rPr>
              <w:t xml:space="preserve">poziomu badanego </w:t>
            </w:r>
            <w:proofErr w:type="spellStart"/>
            <w:r>
              <w:rPr>
                <w:sz w:val="20"/>
              </w:rPr>
              <w:t>transkryptu</w:t>
            </w:r>
            <w:proofErr w:type="spellEnd"/>
            <w:r>
              <w:rPr>
                <w:sz w:val="20"/>
              </w:rPr>
              <w:t xml:space="preserve"> do monitorowania MRD - mutacja NPM1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Produkt statystyczny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24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35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t>5.10.00.0000252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 xml:space="preserve">Monitorowanie minimalnej choroby resztkowej, które obejmuje oznaczenie MRD metodą </w:t>
            </w:r>
            <w:proofErr w:type="spellStart"/>
            <w:r>
              <w:rPr>
                <w:sz w:val="20"/>
              </w:rPr>
              <w:t>qRT</w:t>
            </w:r>
            <w:proofErr w:type="spellEnd"/>
            <w:r>
              <w:rPr>
                <w:sz w:val="20"/>
              </w:rPr>
              <w:t>-PCR - geny fuzyjne w AML - PML::RARA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 xml:space="preserve">Produkt </w:t>
            </w:r>
            <w:r>
              <w:rPr>
                <w:sz w:val="20"/>
              </w:rPr>
              <w:t>statystyczny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24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36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t>5.10.00.0000253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 xml:space="preserve">Monitorowanie minimalnej choroby resztkowej, które obejmuje oznaczenie </w:t>
            </w:r>
            <w:r>
              <w:rPr>
                <w:sz w:val="20"/>
              </w:rPr>
              <w:lastRenderedPageBreak/>
              <w:t xml:space="preserve">MRD metodą </w:t>
            </w:r>
            <w:proofErr w:type="spellStart"/>
            <w:r>
              <w:rPr>
                <w:sz w:val="20"/>
              </w:rPr>
              <w:t>qRT</w:t>
            </w:r>
            <w:proofErr w:type="spellEnd"/>
            <w:r>
              <w:rPr>
                <w:sz w:val="20"/>
              </w:rPr>
              <w:t>-PCR - geny fuzyjne w AML - RUNX1:: RUNX1T1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lastRenderedPageBreak/>
              <w:t>Produkt statystyczny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24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37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t>5.10.00.0000254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t xml:space="preserve">Monitorowanie minimalnej choroby </w:t>
            </w:r>
            <w:r>
              <w:t xml:space="preserve">resztkowej, które obejmuje oznaczenie MRD metodą </w:t>
            </w:r>
            <w:proofErr w:type="spellStart"/>
            <w:r>
              <w:t>qRT</w:t>
            </w:r>
            <w:proofErr w:type="spellEnd"/>
            <w:r>
              <w:t>-PCR - geny fuzyjne w AML - BFB::MYH11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Produkt statystyczny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24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38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t>5.10.00.0000255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t xml:space="preserve">Monitorowanie minimalnej choroby resztkowej, które obejmuje oznaczenie MRD metodą </w:t>
            </w:r>
            <w:proofErr w:type="spellStart"/>
            <w:r>
              <w:t>qRT</w:t>
            </w:r>
            <w:proofErr w:type="spellEnd"/>
            <w:r>
              <w:t>-PCR w AML - mutacja NPM1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Produkt statystyczny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24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39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t>5.10.00.0000256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t xml:space="preserve">Monitorowanie minimalnej choroby resztkowej, które obejmuje oznaczenie wyjściowego poziomu badanego </w:t>
            </w:r>
            <w:proofErr w:type="spellStart"/>
            <w:r>
              <w:t>transkryptu</w:t>
            </w:r>
            <w:proofErr w:type="spellEnd"/>
            <w:r>
              <w:t xml:space="preserve"> BCR::ABL1 w </w:t>
            </w:r>
            <w:r>
              <w:lastRenderedPageBreak/>
              <w:t>CML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lastRenderedPageBreak/>
              <w:t>Produkt statystyczny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24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40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t>5.10.00.0000257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t xml:space="preserve">Monitorowanie minimalnej </w:t>
            </w:r>
            <w:r>
              <w:t xml:space="preserve">choroby resztkowej, które obejmuje oznaczanie MRD metodą </w:t>
            </w:r>
            <w:proofErr w:type="spellStart"/>
            <w:r>
              <w:t>qRT</w:t>
            </w:r>
            <w:proofErr w:type="spellEnd"/>
            <w:r>
              <w:t xml:space="preserve">-PCR – </w:t>
            </w:r>
            <w:proofErr w:type="spellStart"/>
            <w:r>
              <w:t>transkrypt</w:t>
            </w:r>
            <w:proofErr w:type="spellEnd"/>
            <w:r>
              <w:t xml:space="preserve"> BCR::ABL1 w CML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Produkt statystyczny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828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41</w:t>
            </w:r>
          </w:p>
        </w:tc>
        <w:tc>
          <w:tcPr>
            <w:tcW w:w="133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t>11.1210.160.02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badania genetyczne -</w:t>
            </w:r>
            <w:r>
              <w:rPr>
                <w:sz w:val="18"/>
              </w:rPr>
              <w:t xml:space="preserve"> świadczenia diagnostyki genetycznej udzielane osobom do ukończenia 18 roku życia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5.10.00.0000041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kompleksowa diagnostyka genetyczna chorób nowotworowych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532,51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828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42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C84" w:rsidRDefault="001C47C9">
            <w:pPr>
              <w:jc w:val="left"/>
            </w:pPr>
            <w:r>
              <w:t>5.10.00.0000043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C84" w:rsidRDefault="001C47C9">
            <w:pPr>
              <w:jc w:val="left"/>
            </w:pPr>
            <w:r>
              <w:rPr>
                <w:sz w:val="20"/>
              </w:rPr>
              <w:t>kompleksowa diagnostyka genetyczna chorób nienowotworowych z uwzględnieniem cytogenetycznych badań molekularnych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C84" w:rsidRDefault="001C47C9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C84" w:rsidRDefault="00074C84">
            <w:pPr>
              <w:jc w:val="left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C84" w:rsidRDefault="001C47C9">
            <w:pPr>
              <w:jc w:val="left"/>
            </w:pPr>
            <w:r>
              <w:t>1 065,02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C84" w:rsidRDefault="00074C84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828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43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C84" w:rsidRDefault="001C47C9">
            <w:pPr>
              <w:jc w:val="left"/>
            </w:pPr>
            <w:r>
              <w:t>5.10.00.0000047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C84" w:rsidRDefault="001C47C9">
            <w:pPr>
              <w:jc w:val="left"/>
            </w:pPr>
            <w:r>
              <w:rPr>
                <w:sz w:val="20"/>
              </w:rPr>
              <w:t xml:space="preserve">diagnostyka cukrzycy </w:t>
            </w:r>
            <w:proofErr w:type="spellStart"/>
            <w:r>
              <w:rPr>
                <w:sz w:val="20"/>
              </w:rPr>
              <w:t>monogenowej</w:t>
            </w:r>
            <w:proofErr w:type="spellEnd"/>
            <w:r>
              <w:rPr>
                <w:sz w:val="20"/>
              </w:rPr>
              <w:t xml:space="preserve"> - badania genetyczne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C84" w:rsidRDefault="001C47C9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C84" w:rsidRDefault="001C47C9">
            <w:pPr>
              <w:jc w:val="left"/>
            </w:pPr>
            <w:r>
              <w:rPr>
                <w:sz w:val="20"/>
              </w:rPr>
              <w:t>2 154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C84" w:rsidRDefault="001C47C9">
            <w:pPr>
              <w:jc w:val="left"/>
            </w:pPr>
            <w:r>
              <w:rPr>
                <w:sz w:val="20"/>
              </w:rPr>
              <w:t>2 154,00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C84" w:rsidRDefault="00074C84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24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44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t>5.10.00.0000233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 xml:space="preserve">Badanie genetyczne metodą porównawczej hybrydyzacji genomowej do </w:t>
            </w:r>
            <w:proofErr w:type="spellStart"/>
            <w:r>
              <w:rPr>
                <w:sz w:val="20"/>
              </w:rPr>
              <w:t>mikromacierzy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>(</w:t>
            </w:r>
            <w:proofErr w:type="spellStart"/>
            <w:r>
              <w:rPr>
                <w:sz w:val="20"/>
              </w:rPr>
              <w:t>aCGH</w:t>
            </w:r>
            <w:proofErr w:type="spellEnd"/>
            <w:r>
              <w:rPr>
                <w:sz w:val="20"/>
              </w:rPr>
              <w:t xml:space="preserve"> – </w:t>
            </w:r>
            <w:proofErr w:type="spellStart"/>
            <w:r>
              <w:rPr>
                <w:sz w:val="20"/>
              </w:rPr>
              <w:t>Array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Comparative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Genomic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Hybridization</w:t>
            </w:r>
            <w:proofErr w:type="spellEnd"/>
            <w:r>
              <w:rPr>
                <w:sz w:val="20"/>
              </w:rPr>
              <w:t xml:space="preserve">) z </w:t>
            </w:r>
            <w:r>
              <w:rPr>
                <w:sz w:val="20"/>
              </w:rPr>
              <w:t>równoczesną hodowlą komórkową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1113,40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24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45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t>5.10.00.0000234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 xml:space="preserve">Badanie genetyczne metodą porównawczej hybrydyzacji genomowej do </w:t>
            </w:r>
            <w:proofErr w:type="spellStart"/>
            <w:r>
              <w:rPr>
                <w:sz w:val="20"/>
              </w:rPr>
              <w:t>mikromacierzy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aCGH</w:t>
            </w:r>
            <w:proofErr w:type="spellEnd"/>
            <w:r>
              <w:rPr>
                <w:sz w:val="20"/>
              </w:rPr>
              <w:t xml:space="preserve"> – </w:t>
            </w:r>
            <w:proofErr w:type="spellStart"/>
            <w:r>
              <w:rPr>
                <w:sz w:val="20"/>
              </w:rPr>
              <w:t>Array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Comparative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Genomic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Hybridization</w:t>
            </w:r>
            <w:proofErr w:type="spellEnd"/>
            <w:r>
              <w:rPr>
                <w:sz w:val="20"/>
              </w:rPr>
              <w:t xml:space="preserve">) z wykorzystaniem </w:t>
            </w:r>
            <w:proofErr w:type="spellStart"/>
            <w:r>
              <w:rPr>
                <w:sz w:val="20"/>
              </w:rPr>
              <w:t>mikromacierzy</w:t>
            </w:r>
            <w:proofErr w:type="spellEnd"/>
            <w:r>
              <w:rPr>
                <w:sz w:val="20"/>
              </w:rPr>
              <w:t xml:space="preserve"> o niskiej rozdzielczości </w:t>
            </w:r>
            <w:r>
              <w:rPr>
                <w:sz w:val="20"/>
              </w:rPr>
              <w:t>(równej lub powyżej 60 tysięcy/ 60k sond)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921,80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24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46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t>5.10.00.0000235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 xml:space="preserve">Badanie genetyczne metodą porównawczej hybrydyzacji genomowej do </w:t>
            </w:r>
            <w:proofErr w:type="spellStart"/>
            <w:r>
              <w:rPr>
                <w:sz w:val="20"/>
              </w:rPr>
              <w:t>mikromacierzy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aCGH</w:t>
            </w:r>
            <w:proofErr w:type="spellEnd"/>
            <w:r>
              <w:rPr>
                <w:sz w:val="20"/>
              </w:rPr>
              <w:t xml:space="preserve"> – </w:t>
            </w:r>
            <w:proofErr w:type="spellStart"/>
            <w:r>
              <w:rPr>
                <w:sz w:val="20"/>
              </w:rPr>
              <w:t>Array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Comparative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Genomic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Hybridization</w:t>
            </w:r>
            <w:proofErr w:type="spellEnd"/>
            <w:r>
              <w:rPr>
                <w:sz w:val="20"/>
              </w:rPr>
              <w:t xml:space="preserve">) z wykorzystaniem </w:t>
            </w:r>
            <w:proofErr w:type="spellStart"/>
            <w:r>
              <w:rPr>
                <w:sz w:val="20"/>
              </w:rPr>
              <w:t>mikromacierzy</w:t>
            </w:r>
            <w:proofErr w:type="spellEnd"/>
            <w:r>
              <w:rPr>
                <w:sz w:val="20"/>
              </w:rPr>
              <w:t xml:space="preserve"> o wysokiej </w:t>
            </w:r>
            <w:r>
              <w:rPr>
                <w:sz w:val="20"/>
              </w:rPr>
              <w:t xml:space="preserve">rozdzielczości </w:t>
            </w:r>
            <w:r>
              <w:rPr>
                <w:sz w:val="20"/>
              </w:rPr>
              <w:lastRenderedPageBreak/>
              <w:t>(równej lub powyżej 180 tysięcy/ 180k sond)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1377,10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24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47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t>5.10.00.0000236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 xml:space="preserve">Analiza ekspresji jednego genu (w tym genu fuzyjnego) przy użyciu metody Real-Time PCR – ilościowa reakcja łańcuchowa polimerazy w czasie rzeczywistym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qRT</w:t>
            </w:r>
            <w:proofErr w:type="spellEnd"/>
            <w:r>
              <w:rPr>
                <w:sz w:val="20"/>
              </w:rPr>
              <w:t xml:space="preserve">-PCR – Real-Time </w:t>
            </w:r>
            <w:proofErr w:type="spellStart"/>
            <w:r>
              <w:rPr>
                <w:sz w:val="20"/>
              </w:rPr>
              <w:t>Quantitative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Polymerase</w:t>
            </w:r>
            <w:proofErr w:type="spellEnd"/>
            <w:r>
              <w:rPr>
                <w:sz w:val="20"/>
              </w:rPr>
              <w:t xml:space="preserve"> Chain </w:t>
            </w:r>
            <w:proofErr w:type="spellStart"/>
            <w:r>
              <w:rPr>
                <w:sz w:val="20"/>
              </w:rPr>
              <w:t>Reaction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392,70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t>do rozliczenia niezbędne jest sprawozdanie jednego z produktów z przedziału</w:t>
            </w:r>
          </w:p>
          <w:p w:rsidR="00074C84" w:rsidRDefault="001C47C9">
            <w:pPr>
              <w:jc w:val="left"/>
            </w:pPr>
            <w:r>
              <w:t>5.10.00.0000238 - 5.10.00.0000257</w:t>
            </w:r>
          </w:p>
        </w:tc>
      </w:tr>
      <w:tr w:rsidR="00074C84">
        <w:trPr>
          <w:trHeight w:val="24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48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t>5.10.00.0000237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Analiza ekspresji dwóch i więcej genów (w tym</w:t>
            </w:r>
            <w:r>
              <w:rPr>
                <w:sz w:val="20"/>
              </w:rPr>
              <w:t xml:space="preserve"> genów fuzyjnych) przy użyciu metody Real-Time PCR – ilościowa reakcja łańcuchowa polimerazy w czasie rzeczywistym (</w:t>
            </w:r>
            <w:proofErr w:type="spellStart"/>
            <w:r>
              <w:rPr>
                <w:sz w:val="20"/>
              </w:rPr>
              <w:t>qRT</w:t>
            </w:r>
            <w:proofErr w:type="spellEnd"/>
            <w:r>
              <w:rPr>
                <w:sz w:val="20"/>
              </w:rPr>
              <w:t xml:space="preserve">-PCR – Real-Time </w:t>
            </w:r>
            <w:proofErr w:type="spellStart"/>
            <w:r>
              <w:rPr>
                <w:sz w:val="20"/>
              </w:rPr>
              <w:t>Quantitative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Polymerase</w:t>
            </w:r>
            <w:proofErr w:type="spellEnd"/>
            <w:r>
              <w:rPr>
                <w:sz w:val="20"/>
              </w:rPr>
              <w:t xml:space="preserve"> Chain </w:t>
            </w:r>
            <w:proofErr w:type="spellStart"/>
            <w:r>
              <w:rPr>
                <w:sz w:val="20"/>
              </w:rPr>
              <w:t>Reaction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830,70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t xml:space="preserve">do rozliczenia niezbędne jest sprawozdanie co najmniej dwóch </w:t>
            </w:r>
            <w:r>
              <w:t>produktów z przedziału 5.10.00.0000238 - 5.10.00.0000257</w:t>
            </w:r>
          </w:p>
        </w:tc>
      </w:tr>
      <w:tr w:rsidR="00074C84">
        <w:trPr>
          <w:trHeight w:val="24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lastRenderedPageBreak/>
              <w:t>49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t>5.10.00.0000238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Diagnostyka w kierunku rozpoznawania genów fuzyjnych BCR::ABL1 lub chromosomu Philadelphia (</w:t>
            </w:r>
            <w:proofErr w:type="spellStart"/>
            <w:r>
              <w:rPr>
                <w:sz w:val="20"/>
              </w:rPr>
              <w:t>Ph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Produkt statystyczny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24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50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t>5.10.00.0000239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 xml:space="preserve">Diagnostyka w kierunku </w:t>
            </w:r>
            <w:r>
              <w:rPr>
                <w:sz w:val="20"/>
              </w:rPr>
              <w:t>rozpoznawania genów fuzyjnych PML::RARA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C84" w:rsidRDefault="001C47C9">
            <w:pPr>
              <w:jc w:val="center"/>
            </w:pPr>
            <w:r>
              <w:rPr>
                <w:sz w:val="20"/>
              </w:rPr>
              <w:t>Produkt statystyczny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24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51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t>5.10.00.0000240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Diagnostyka w kierunku rozpoznawania genów fuzyjnych RUNX1::RUNX1T1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Produkt statystyczny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24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52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t>5.10.00.0000241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 xml:space="preserve">Diagnostyka w kierunku rozpoznawania genów </w:t>
            </w:r>
            <w:r>
              <w:rPr>
                <w:sz w:val="20"/>
              </w:rPr>
              <w:t>fuzyjnych CBFB::MYH11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Produkt statystyczny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24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53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t>5.10.00.0000242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Diagnostyka w kierunku rozpoznawania mutacji NPM1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Produkt statystyczny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24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54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t>5.10.00.0000243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 xml:space="preserve">Monitorowanie odpowiedzi na zastosowaną terapię oraz ocena chimeryzmu </w:t>
            </w:r>
            <w:proofErr w:type="spellStart"/>
            <w:r>
              <w:rPr>
                <w:sz w:val="20"/>
              </w:rPr>
              <w:t>poprzeszczepowego</w:t>
            </w:r>
            <w:proofErr w:type="spellEnd"/>
            <w:r>
              <w:rPr>
                <w:sz w:val="20"/>
              </w:rPr>
              <w:t xml:space="preserve"> u pacjentów poddanych </w:t>
            </w:r>
            <w:r>
              <w:rPr>
                <w:sz w:val="20"/>
              </w:rPr>
              <w:lastRenderedPageBreak/>
              <w:t>transplantacji allogenicznych krwiotwórczych komórek macierzystych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lastRenderedPageBreak/>
              <w:t>Produkt statystyczny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24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55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t>5.10.00.0000244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 xml:space="preserve">Monitorowanie minimalnej choroby resztkowej, które obejmuje identyfikację </w:t>
            </w:r>
            <w:proofErr w:type="spellStart"/>
            <w:r>
              <w:rPr>
                <w:sz w:val="20"/>
              </w:rPr>
              <w:t>rearanżacji</w:t>
            </w:r>
            <w:proofErr w:type="spellEnd"/>
            <w:r>
              <w:rPr>
                <w:sz w:val="20"/>
              </w:rPr>
              <w:t xml:space="preserve"> genów do </w:t>
            </w:r>
            <w:r>
              <w:rPr>
                <w:sz w:val="20"/>
              </w:rPr>
              <w:t>monitorowania PCR MRD ALL: ALL MRD-PCR1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Produkt statystyczny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24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56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t>5.10.00.0000245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 xml:space="preserve">Monitorowanie minimalnej choroby resztkowej, które obejmuje identyfikację </w:t>
            </w:r>
            <w:proofErr w:type="spellStart"/>
            <w:r>
              <w:rPr>
                <w:sz w:val="20"/>
              </w:rPr>
              <w:t>rearanżacji</w:t>
            </w:r>
            <w:proofErr w:type="spellEnd"/>
            <w:r>
              <w:rPr>
                <w:sz w:val="20"/>
              </w:rPr>
              <w:t xml:space="preserve"> genów do monitorowania PCR MRD ALL: ALL-MRD-PCR2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Produkt statystyczny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24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57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t>5.10.00.0000246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Monitorowanie minimalnej choroby resztkowej, które obejmuje oznaczenie MRD metodą PCR w ALL: ALL-MRD-PCR1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Produkt statystyczny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24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58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t>5.10.00.0000</w:t>
            </w:r>
            <w:r>
              <w:lastRenderedPageBreak/>
              <w:t>247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lastRenderedPageBreak/>
              <w:t xml:space="preserve">Monitorowanie minimalnej </w:t>
            </w:r>
            <w:r>
              <w:rPr>
                <w:sz w:val="20"/>
              </w:rPr>
              <w:lastRenderedPageBreak/>
              <w:t xml:space="preserve">choroby resztkowej, które obejmuje oznaczenie MRD </w:t>
            </w:r>
            <w:r>
              <w:rPr>
                <w:sz w:val="20"/>
              </w:rPr>
              <w:t>metodą PCR w ALL: ALL-MRD- PCR2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lastRenderedPageBreak/>
              <w:t>Produkt statystycz</w:t>
            </w:r>
            <w:r>
              <w:rPr>
                <w:sz w:val="20"/>
              </w:rPr>
              <w:lastRenderedPageBreak/>
              <w:t>ny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24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59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t>5.10.00.0000248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 xml:space="preserve">Monitorowanie minimalnej choroby resztkowej, które obejmuje diagnostykę molekularną AML i oznaczenie wyjściowego poziomu badanego </w:t>
            </w:r>
            <w:proofErr w:type="spellStart"/>
            <w:r>
              <w:rPr>
                <w:sz w:val="20"/>
              </w:rPr>
              <w:t>transkryptu</w:t>
            </w:r>
            <w:proofErr w:type="spellEnd"/>
            <w:r>
              <w:rPr>
                <w:sz w:val="20"/>
              </w:rPr>
              <w:t xml:space="preserve"> do monitorowania MRD - </w:t>
            </w:r>
            <w:r>
              <w:rPr>
                <w:sz w:val="20"/>
              </w:rPr>
              <w:t>PML::RARA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Produkt statystyczny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24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60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t>5.10.00.0000249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 xml:space="preserve">Monitorowanie minimalnej choroby resztkowej, które obejmuje diagnostykę molekularną AML i oznaczenie wyjściowego poziomu badanego </w:t>
            </w:r>
            <w:proofErr w:type="spellStart"/>
            <w:r>
              <w:rPr>
                <w:sz w:val="20"/>
              </w:rPr>
              <w:t>transkryptu</w:t>
            </w:r>
            <w:proofErr w:type="spellEnd"/>
            <w:r>
              <w:rPr>
                <w:sz w:val="20"/>
              </w:rPr>
              <w:t xml:space="preserve"> do monitorowania MRD - RUNX1::RUNX1T1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 xml:space="preserve">Produkt </w:t>
            </w:r>
            <w:r>
              <w:rPr>
                <w:sz w:val="20"/>
              </w:rPr>
              <w:t>statystyczny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24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lastRenderedPageBreak/>
              <w:t>61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t>5.10.00.0000250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 xml:space="preserve">Monitorowanie minimalnej choroby resztkowej, które obejmuje diagnostykę molekularną AML i oznaczenie wyjściowego poziomu badanego </w:t>
            </w:r>
            <w:proofErr w:type="spellStart"/>
            <w:r>
              <w:rPr>
                <w:sz w:val="20"/>
              </w:rPr>
              <w:t>transkryptu</w:t>
            </w:r>
            <w:proofErr w:type="spellEnd"/>
            <w:r>
              <w:rPr>
                <w:sz w:val="20"/>
              </w:rPr>
              <w:t xml:space="preserve"> do monitorowania MRD - CBFB::MYH11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Produkt statystyczny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24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62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t>5.10.00.0000251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 xml:space="preserve">Monitorowanie minimalnej choroby resztkowej, które obejmuje diagnostykę molekularną AML i oznaczenie wyjściowego poziomu badanego </w:t>
            </w:r>
            <w:proofErr w:type="spellStart"/>
            <w:r>
              <w:rPr>
                <w:sz w:val="20"/>
              </w:rPr>
              <w:t>transkryptu</w:t>
            </w:r>
            <w:proofErr w:type="spellEnd"/>
            <w:r>
              <w:rPr>
                <w:sz w:val="20"/>
              </w:rPr>
              <w:t xml:space="preserve"> do monitorowania MRD - mutacja NPM1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Produkt statystyczny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24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63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t>5.10.00.0000252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 xml:space="preserve">Monitorowanie minimalnej choroby resztkowej, które obejmuje oznaczenie MRD metodą </w:t>
            </w:r>
            <w:proofErr w:type="spellStart"/>
            <w:r>
              <w:rPr>
                <w:sz w:val="20"/>
              </w:rPr>
              <w:t>qRT</w:t>
            </w:r>
            <w:proofErr w:type="spellEnd"/>
            <w:r>
              <w:rPr>
                <w:sz w:val="20"/>
              </w:rPr>
              <w:t xml:space="preserve">-PCR - geny fuzyjne w AML </w:t>
            </w:r>
            <w:r>
              <w:rPr>
                <w:sz w:val="20"/>
              </w:rPr>
              <w:lastRenderedPageBreak/>
              <w:t>- PML::RARA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lastRenderedPageBreak/>
              <w:t>Produkt statystyczny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24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64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t>5.10.00.0000253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 xml:space="preserve">Monitorowanie minimalnej choroby resztkowej, które obejmuje oznaczenie MRD metodą </w:t>
            </w:r>
            <w:proofErr w:type="spellStart"/>
            <w:r>
              <w:rPr>
                <w:sz w:val="20"/>
              </w:rPr>
              <w:t>qRT</w:t>
            </w:r>
            <w:proofErr w:type="spellEnd"/>
            <w:r>
              <w:rPr>
                <w:sz w:val="20"/>
              </w:rPr>
              <w:t>-PCR - geny fuzyjne w AML - RUNX1:: RUNX1T1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Produkt statystyczny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24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65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t>5.10.00.0000254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t xml:space="preserve">Monitorowanie minimalnej choroby resztkowej, które obejmuje oznaczenie MRD metodą </w:t>
            </w:r>
            <w:proofErr w:type="spellStart"/>
            <w:r>
              <w:t>qRT</w:t>
            </w:r>
            <w:proofErr w:type="spellEnd"/>
            <w:r>
              <w:t>-PCR - geny fuzyjne w AML - BFB::MYH11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Produkt statystyczny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24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66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t>5.10.00.0000255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t xml:space="preserve">Monitorowanie minimalnej choroby resztkowej, które obejmuje oznaczenie MRD metodą </w:t>
            </w:r>
            <w:proofErr w:type="spellStart"/>
            <w:r>
              <w:t>qRT</w:t>
            </w:r>
            <w:proofErr w:type="spellEnd"/>
            <w:r>
              <w:t>-PCR w AML - mutacja NPM1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Produkt statystyczny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24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67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t>5.10.00.0000256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t xml:space="preserve">Monitorowanie minimalnej choroby resztkowej, które obejmuje </w:t>
            </w:r>
            <w:r>
              <w:lastRenderedPageBreak/>
              <w:t xml:space="preserve">oznaczenie </w:t>
            </w:r>
            <w:r>
              <w:t xml:space="preserve">wyjściowego poziomu badanego </w:t>
            </w:r>
            <w:proofErr w:type="spellStart"/>
            <w:r>
              <w:t>transkryptu</w:t>
            </w:r>
            <w:proofErr w:type="spellEnd"/>
            <w:r>
              <w:t xml:space="preserve"> BCR::ABL1 w CML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lastRenderedPageBreak/>
              <w:t>Produkt statystyczny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24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68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t>5.10.00.0000257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t xml:space="preserve">Monitorowanie minimalnej choroby resztkowej, które obejmuje oznaczanie MRD metodą </w:t>
            </w:r>
            <w:proofErr w:type="spellStart"/>
            <w:r>
              <w:t>qRT</w:t>
            </w:r>
            <w:proofErr w:type="spellEnd"/>
            <w:r>
              <w:t xml:space="preserve">-PCR – </w:t>
            </w:r>
            <w:proofErr w:type="spellStart"/>
            <w:r>
              <w:t>transkrypt</w:t>
            </w:r>
            <w:proofErr w:type="spellEnd"/>
            <w:r>
              <w:t xml:space="preserve"> BCR::ABL1 w CML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Produkt statystyczny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828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69</w:t>
            </w:r>
          </w:p>
        </w:tc>
        <w:tc>
          <w:tcPr>
            <w:tcW w:w="133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11.0000.040.02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badania izotopowe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5.10.00.0000021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 xml:space="preserve">scyntygrafia całego ciała z zastosowaniem  znakowanych analogów  </w:t>
            </w:r>
            <w:proofErr w:type="spellStart"/>
            <w:r>
              <w:rPr>
                <w:sz w:val="20"/>
              </w:rPr>
              <w:t>somatostatyny</w:t>
            </w:r>
            <w:proofErr w:type="spellEnd"/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5 326,13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552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70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5.10.00.0000022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scyntygrafia nadnerczy/innych okolic  ciała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2 366,94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276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71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5.10.00.0000023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scyntygrafia wentylacyjna płuc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1 775,72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552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72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5.10.00.0000024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scyntygrafia całego ciała z zastosowaniem cytrynianu galu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2 959,19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552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73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5.10.00.0000025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scyntygrafia z zastosowaniem znakowanych leukocytów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 xml:space="preserve">2 </w:t>
            </w:r>
            <w:r>
              <w:rPr>
                <w:sz w:val="20"/>
              </w:rPr>
              <w:t>722,29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33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lastRenderedPageBreak/>
              <w:t>74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5.10.00.0000049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 xml:space="preserve">diagnostyka zaburzeń czynności układu pozapiramidowego w przebiegu schorzeń zwyrodnieniowych ośrodkowego układu nerwowego za pomocą </w:t>
            </w:r>
            <w:proofErr w:type="spellStart"/>
            <w:r>
              <w:rPr>
                <w:sz w:val="20"/>
              </w:rPr>
              <w:t>radiofarmaceutyków</w:t>
            </w:r>
            <w:proofErr w:type="spellEnd"/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6 272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6 272,00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516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75</w:t>
            </w:r>
          </w:p>
        </w:tc>
        <w:tc>
          <w:tcPr>
            <w:tcW w:w="1335" w:type="dxa"/>
            <w:vMerge w:val="restar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11.0000.043.02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terapia izotopowa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5.10.00.0000018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terapia izotopowa łagodnych schorzeń  tarczycy - porada kwalifikacyjna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355,35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nie wolno łączyć z ambulatoryjnymi świadczeniami specjalistycznymi</w:t>
            </w:r>
          </w:p>
        </w:tc>
      </w:tr>
      <w:tr w:rsidR="00074C84">
        <w:trPr>
          <w:trHeight w:val="468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76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5.10.00.0000019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 xml:space="preserve">terapia izotopowa łagodnych schorzeń  tarczycy - podanie </w:t>
            </w:r>
            <w:r>
              <w:rPr>
                <w:sz w:val="20"/>
              </w:rPr>
              <w:t>izotopu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355,35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456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t>77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5.10.00.0000020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terapia izotopowa łagodnych schorzeń  tarczycy - porada kontrolna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82,40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nie wolno łączyć z ambulatoryjnymi świadczeniami specjalistycznymi</w:t>
            </w:r>
          </w:p>
        </w:tc>
      </w:tr>
      <w:tr w:rsidR="00074C84">
        <w:trPr>
          <w:trHeight w:val="384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78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5.10.00.0000026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 xml:space="preserve">terapia izotopowa bólów kostnych w </w:t>
            </w:r>
            <w:r>
              <w:rPr>
                <w:sz w:val="20"/>
              </w:rPr>
              <w:t xml:space="preserve">przebiegu zmian przerzutowych do kości - </w:t>
            </w:r>
            <w:r>
              <w:rPr>
                <w:sz w:val="20"/>
              </w:rPr>
              <w:lastRenderedPageBreak/>
              <w:t>porada kwalifikacyjna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592,25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nie wolno łączyć z ambulatoryjnymi świadczeniami specjalistycznymi</w:t>
            </w:r>
          </w:p>
        </w:tc>
      </w:tr>
      <w:tr w:rsidR="00074C84">
        <w:trPr>
          <w:trHeight w:val="504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79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5.10.00.0000027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 xml:space="preserve">terapia izotopowa bólów kostnych w przebiegu zmian przerzutowych do kości - podanie </w:t>
            </w:r>
            <w:r>
              <w:rPr>
                <w:sz w:val="20"/>
              </w:rPr>
              <w:t>izotopu strontu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2 959,19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636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80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5.10.00.0000028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terapia izotopowa bólów kostnych w przebiegu zmian przerzutowych do kości - podanie izotopu samaru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4 733,88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396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81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5.10.00.0000029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 xml:space="preserve">terapia izotopowa bólów kostnych w przebiegu zmian </w:t>
            </w:r>
            <w:r>
              <w:rPr>
                <w:sz w:val="20"/>
              </w:rPr>
              <w:t>przerzutowych do kości - porada kontrolna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118,45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nie wolno łączyć z ambulatoryjnymi świadczeniami specjalistycznymi</w:t>
            </w:r>
          </w:p>
        </w:tc>
      </w:tr>
      <w:tr w:rsidR="00074C84">
        <w:trPr>
          <w:trHeight w:val="30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82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5.10.00.0000065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proofErr w:type="spellStart"/>
            <w:r>
              <w:rPr>
                <w:sz w:val="20"/>
              </w:rPr>
              <w:t>synowiektomie</w:t>
            </w:r>
            <w:proofErr w:type="spellEnd"/>
            <w:r>
              <w:rPr>
                <w:sz w:val="20"/>
              </w:rPr>
              <w:t xml:space="preserve"> radioizotopowe - porada kwalifikacyjna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295,61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 xml:space="preserve">nie wolno łączyć z ambulatoryjnymi </w:t>
            </w:r>
            <w:r>
              <w:rPr>
                <w:sz w:val="20"/>
              </w:rPr>
              <w:t>świadczeniami specjalistycznymi</w:t>
            </w:r>
          </w:p>
        </w:tc>
      </w:tr>
      <w:tr w:rsidR="00074C84">
        <w:trPr>
          <w:trHeight w:val="276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83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5.10.00.0000030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proofErr w:type="spellStart"/>
            <w:r>
              <w:rPr>
                <w:sz w:val="20"/>
              </w:rPr>
              <w:t>synowiektomie</w:t>
            </w:r>
            <w:proofErr w:type="spellEnd"/>
            <w:r>
              <w:rPr>
                <w:sz w:val="20"/>
              </w:rPr>
              <w:t xml:space="preserve"> radioizotopowe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2 366,94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552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t>84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5.10.00.0000066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proofErr w:type="spellStart"/>
            <w:r>
              <w:rPr>
                <w:sz w:val="20"/>
              </w:rPr>
              <w:t>synowiektomie</w:t>
            </w:r>
            <w:proofErr w:type="spellEnd"/>
            <w:r>
              <w:rPr>
                <w:sz w:val="20"/>
              </w:rPr>
              <w:t xml:space="preserve"> radioizotopowe - porada kontrolna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94,76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 xml:space="preserve">nie wolno łączyć z ambulatoryjnymi świadczeniami </w:t>
            </w:r>
            <w:r>
              <w:rPr>
                <w:sz w:val="20"/>
              </w:rPr>
              <w:t>specjalistycznymi</w:t>
            </w:r>
          </w:p>
        </w:tc>
      </w:tr>
      <w:tr w:rsidR="00074C84">
        <w:trPr>
          <w:trHeight w:val="276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85</w:t>
            </w:r>
          </w:p>
        </w:tc>
        <w:tc>
          <w:tcPr>
            <w:tcW w:w="133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11.0000.041.02</w:t>
            </w:r>
          </w:p>
        </w:tc>
        <w:tc>
          <w:tcPr>
            <w:tcW w:w="139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zaopatrzenie protetyczne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5.10.00.0000036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zaopatrzenie w protezę twarzy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426,42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obejmuje koszt protezy</w:t>
            </w:r>
          </w:p>
        </w:tc>
      </w:tr>
      <w:tr w:rsidR="00074C84">
        <w:trPr>
          <w:trHeight w:val="276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lastRenderedPageBreak/>
              <w:t>86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5.10.00.0000037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zaopatrzenie w protezę nosa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4 852,33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obejmuje koszt protezy</w:t>
            </w:r>
          </w:p>
        </w:tc>
      </w:tr>
      <w:tr w:rsidR="00074C84">
        <w:trPr>
          <w:trHeight w:val="552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t>87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5.10.00.0000038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zaopatrzenie w protezę  małżowiny usznej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4 852,33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obejmuje koszt protezy</w:t>
            </w:r>
          </w:p>
        </w:tc>
      </w:tr>
      <w:tr w:rsidR="00074C84">
        <w:trPr>
          <w:trHeight w:val="552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88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5.10.00.0000039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 xml:space="preserve">zaopatrzenie w </w:t>
            </w:r>
            <w:proofErr w:type="spellStart"/>
            <w:r>
              <w:rPr>
                <w:sz w:val="20"/>
              </w:rPr>
              <w:t>ektoprotezę</w:t>
            </w:r>
            <w:proofErr w:type="spellEnd"/>
            <w:r>
              <w:rPr>
                <w:sz w:val="20"/>
              </w:rPr>
              <w:t>: gałki ocznej, wargi i nosa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5 798,90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obejmuje koszt protezy</w:t>
            </w:r>
          </w:p>
        </w:tc>
      </w:tr>
      <w:tr w:rsidR="00074C84">
        <w:trPr>
          <w:trHeight w:val="276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89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5.10.00.0000040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 xml:space="preserve">naprawa i </w:t>
            </w:r>
            <w:r>
              <w:rPr>
                <w:sz w:val="20"/>
              </w:rPr>
              <w:t>renowacja protezy twarzy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532,51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obejmuje koszt protezy</w:t>
            </w:r>
          </w:p>
        </w:tc>
      </w:tr>
      <w:tr w:rsidR="00074C84">
        <w:trPr>
          <w:trHeight w:val="552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90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5.10.00.0000045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powiększenie indywidualnej protezy gałki ocznej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592,25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obejmuje koszt protezy</w:t>
            </w:r>
          </w:p>
        </w:tc>
      </w:tr>
      <w:tr w:rsidR="00074C84">
        <w:trPr>
          <w:trHeight w:val="276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91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5.10.00.0000048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zatyczka do protezy gałki ocznej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355,35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</w:pPr>
          </w:p>
        </w:tc>
      </w:tr>
      <w:tr w:rsidR="00074C84">
        <w:trPr>
          <w:trHeight w:val="828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92</w:t>
            </w:r>
          </w:p>
        </w:tc>
        <w:tc>
          <w:tcPr>
            <w:tcW w:w="13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11.7220.001.12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 pozytonowa tomografia emisyjna (PET)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>5.10.00.0000103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</w:pPr>
            <w:r>
              <w:rPr>
                <w:sz w:val="20"/>
              </w:rPr>
              <w:t xml:space="preserve">pozytonowa tomografia emisyjna (PET) z zastosowaniem </w:t>
            </w:r>
            <w:proofErr w:type="spellStart"/>
            <w:r>
              <w:rPr>
                <w:sz w:val="20"/>
              </w:rPr>
              <w:t>radiofarmaceutyków</w:t>
            </w:r>
            <w:proofErr w:type="spellEnd"/>
            <w:r>
              <w:rPr>
                <w:sz w:val="20"/>
              </w:rPr>
              <w:t xml:space="preserve"> z grupy 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236,22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2 795,42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- za jedno badanie</w:t>
            </w:r>
            <w:r>
              <w:rPr>
                <w:sz w:val="20"/>
              </w:rPr>
              <w:br/>
              <w:t xml:space="preserve">- grupa I obejmuje </w:t>
            </w:r>
            <w:proofErr w:type="spellStart"/>
            <w:r>
              <w:rPr>
                <w:sz w:val="20"/>
              </w:rPr>
              <w:t>radiofarmaceutyki</w:t>
            </w:r>
            <w:proofErr w:type="spellEnd"/>
            <w:r>
              <w:rPr>
                <w:sz w:val="20"/>
              </w:rPr>
              <w:t>: 18F-FDG, 18F-NaF.</w:t>
            </w:r>
          </w:p>
        </w:tc>
      </w:tr>
      <w:tr w:rsidR="00074C84">
        <w:trPr>
          <w:trHeight w:val="27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93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5.10.00.0000104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pozytonowa tomografia emisyjna (PET) z zastosowaniem </w:t>
            </w:r>
            <w:proofErr w:type="spellStart"/>
            <w:r>
              <w:rPr>
                <w:sz w:val="20"/>
              </w:rPr>
              <w:t>radiofarmaceutyków</w:t>
            </w:r>
            <w:proofErr w:type="spellEnd"/>
            <w:r>
              <w:rPr>
                <w:sz w:val="20"/>
              </w:rPr>
              <w:t xml:space="preserve"> z grupy II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349,96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4 141,63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- za jedno badanie</w:t>
            </w:r>
            <w:r>
              <w:rPr>
                <w:color w:val="000000"/>
                <w:sz w:val="20"/>
                <w:u w:color="000000"/>
              </w:rPr>
              <w:br/>
              <w:t xml:space="preserve">- grupa II obejmuje inne </w:t>
            </w:r>
            <w:proofErr w:type="spellStart"/>
            <w:r>
              <w:rPr>
                <w:color w:val="000000"/>
                <w:sz w:val="20"/>
                <w:u w:color="000000"/>
              </w:rPr>
              <w:t>radiofarmaceutyki</w:t>
            </w:r>
            <w:proofErr w:type="spellEnd"/>
            <w:r>
              <w:rPr>
                <w:color w:val="000000"/>
                <w:sz w:val="20"/>
                <w:u w:color="000000"/>
              </w:rPr>
              <w:t xml:space="preserve">: zarejestrowane w Polsce 18F-cholina (18-fluorocholina) lub </w:t>
            </w:r>
            <w:r>
              <w:rPr>
                <w:color w:val="000000"/>
                <w:sz w:val="20"/>
                <w:u w:color="000000"/>
              </w:rPr>
              <w:t xml:space="preserve">nie zarejestrowane w Polsce a sprowadzane w trybie importu docelowego lub produkowane na potrzeby własne przez laboratorium świadczeniodawcy </w:t>
            </w:r>
            <w:r>
              <w:rPr>
                <w:color w:val="000000"/>
                <w:sz w:val="20"/>
                <w:u w:color="000000"/>
              </w:rPr>
              <w:lastRenderedPageBreak/>
              <w:t>zgodnie z prawem atomowym</w:t>
            </w:r>
          </w:p>
        </w:tc>
      </w:tr>
      <w:tr w:rsidR="00074C84">
        <w:trPr>
          <w:trHeight w:val="1128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94</w:t>
            </w:r>
          </w:p>
        </w:tc>
        <w:tc>
          <w:tcPr>
            <w:tcW w:w="1335" w:type="dxa"/>
            <w:vMerge w:val="restar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11.1021.046.02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leczenie cukrzycy z zastosowaniem pompy insulinowej u dzieci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5.10.00.0000053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leczenie cukrzycy z zastosowaniem pompy insulinowej u dzieci do 6 roku życia albo wymagających do 20 jednostek insuliny na dobę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7 469,00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  <w:rPr>
                <w:color w:val="000000"/>
                <w:u w:color="000000"/>
              </w:rPr>
            </w:pPr>
          </w:p>
        </w:tc>
      </w:tr>
      <w:tr w:rsidR="00074C84">
        <w:trPr>
          <w:trHeight w:val="60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5.10.00.0000054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leczenie cukrzycy z zastosowaniem pompy insulinowej u dzieci od 6 do </w:t>
            </w:r>
            <w:r>
              <w:rPr>
                <w:sz w:val="20"/>
              </w:rPr>
              <w:t>18 roku życia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6 894,00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  <w:rPr>
                <w:color w:val="000000"/>
                <w:u w:color="000000"/>
              </w:rPr>
            </w:pPr>
          </w:p>
        </w:tc>
      </w:tr>
      <w:tr w:rsidR="00074C84">
        <w:trPr>
          <w:trHeight w:val="1056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133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11.1021.047.02</w:t>
            </w:r>
          </w:p>
        </w:tc>
        <w:tc>
          <w:tcPr>
            <w:tcW w:w="139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leczenie cukrzycy z zastosowaniem pompy insulinowej u dorosłych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5.10.00.0000056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leczenie cukrzycy z zastosowaniem pompy insulinowej u dorosłych w wieku 18-26 lat wymagających do 30 jednostek insuliny na</w:t>
            </w:r>
            <w:r>
              <w:rPr>
                <w:sz w:val="20"/>
              </w:rPr>
              <w:t xml:space="preserve"> dobę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7 469,00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  <w:rPr>
                <w:color w:val="000000"/>
                <w:u w:color="000000"/>
              </w:rPr>
            </w:pPr>
          </w:p>
        </w:tc>
      </w:tr>
      <w:tr w:rsidR="00074C84">
        <w:trPr>
          <w:trHeight w:val="6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97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5.10.00.0000057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leczenie cukrzycy z zastosowaniem pompy insulinowej u dorosłych w wieku 18-26 lat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6 894,00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  <w:rPr>
                <w:color w:val="000000"/>
                <w:u w:color="000000"/>
              </w:rPr>
            </w:pPr>
          </w:p>
        </w:tc>
      </w:tr>
      <w:tr w:rsidR="00074C84">
        <w:trPr>
          <w:trHeight w:val="174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lastRenderedPageBreak/>
              <w:t>98</w:t>
            </w:r>
          </w:p>
        </w:tc>
        <w:tc>
          <w:tcPr>
            <w:tcW w:w="133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10.0000.050.02</w:t>
            </w:r>
          </w:p>
        </w:tc>
        <w:tc>
          <w:tcPr>
            <w:tcW w:w="139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kompleksowe leczenie  wrodzonej sztywności wielostawowej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5.10.00.0000058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kompleksowe </w:t>
            </w:r>
            <w:r>
              <w:rPr>
                <w:sz w:val="20"/>
              </w:rPr>
              <w:t>operacyjne leczenie wrodzonej sztywności wielostawowej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13 539,35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 xml:space="preserve">obejmuje zabieg operacyjny korygujący deformację  na przynajmniej  dwóch poziomach w obrębie tkanek miękkich i/lub kostnych kończyny dolnej i miednicy- </w:t>
            </w:r>
            <w:r>
              <w:rPr>
                <w:color w:val="000000"/>
                <w:sz w:val="20"/>
                <w:u w:color="000000"/>
              </w:rPr>
              <w:br/>
              <w:t xml:space="preserve">w czasie jednej sesji </w:t>
            </w:r>
            <w:r>
              <w:rPr>
                <w:color w:val="000000"/>
                <w:sz w:val="20"/>
                <w:u w:color="000000"/>
              </w:rPr>
              <w:t xml:space="preserve">operacyjnej oraz rehabilitację w oddziale z dopasowaniem i założeniem </w:t>
            </w:r>
            <w:proofErr w:type="spellStart"/>
            <w:r>
              <w:rPr>
                <w:color w:val="000000"/>
                <w:sz w:val="20"/>
                <w:u w:color="000000"/>
              </w:rPr>
              <w:t>ortez</w:t>
            </w:r>
            <w:proofErr w:type="spellEnd"/>
            <w:r>
              <w:rPr>
                <w:color w:val="000000"/>
                <w:sz w:val="20"/>
                <w:u w:color="000000"/>
              </w:rPr>
              <w:t>; nie można łączyć ze świadczeniami z innych rodzajów</w:t>
            </w:r>
          </w:p>
        </w:tc>
      </w:tr>
      <w:tr w:rsidR="00074C84">
        <w:trPr>
          <w:trHeight w:val="15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5.10.00.0000059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operacyjne leczenie wrodzonej sztywności wielostawowej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4 923,40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obejmuje zabieg operacyjny </w:t>
            </w:r>
            <w:r>
              <w:rPr>
                <w:sz w:val="20"/>
              </w:rPr>
              <w:t xml:space="preserve">korygujący deformację na jednym poziomie w obrębie tkanek miękkich i/lub kostnych kończyny górnej lub dolnej oraz rehabilitacją w oddziale z dopasowaniem i założeniem </w:t>
            </w:r>
            <w:proofErr w:type="spellStart"/>
            <w:r>
              <w:rPr>
                <w:sz w:val="20"/>
              </w:rPr>
              <w:t>ortez</w:t>
            </w:r>
            <w:proofErr w:type="spellEnd"/>
            <w:r>
              <w:rPr>
                <w:sz w:val="20"/>
              </w:rPr>
              <w:t>; nie można łączyć ze świadczeniami z innych rodzajów</w:t>
            </w:r>
          </w:p>
        </w:tc>
      </w:tr>
      <w:tr w:rsidR="00074C84">
        <w:trPr>
          <w:trHeight w:val="792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5.10.00.0000060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kompleksowe zachowawcze leczenie wrodzonej sztywności wielostawowej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4 307,46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obejmuje diagnostykę, rehabilitację w Oddziale Ortopedii, założenie i dopasowanie </w:t>
            </w:r>
            <w:proofErr w:type="spellStart"/>
            <w:r>
              <w:rPr>
                <w:sz w:val="20"/>
              </w:rPr>
              <w:t>ortez</w:t>
            </w:r>
            <w:proofErr w:type="spellEnd"/>
            <w:r>
              <w:rPr>
                <w:sz w:val="20"/>
              </w:rPr>
              <w:t>; nie można łączyć ze świadczeniami z innych rodzajów</w:t>
            </w:r>
          </w:p>
        </w:tc>
      </w:tr>
      <w:tr w:rsidR="00074C84">
        <w:trPr>
          <w:trHeight w:val="1104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t>101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5.10.00.0000061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rehabilitacja ogólnoustrojowa w warunkach stacjonarnych wrodzonej </w:t>
            </w:r>
            <w:r>
              <w:rPr>
                <w:sz w:val="20"/>
              </w:rPr>
              <w:lastRenderedPageBreak/>
              <w:t>sztywności wielostawowej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177,10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osobodzień w oddziale rehabilitacji ogólnoustrojowej dzieci;  nie można łączyć ze świadczeniami z innych </w:t>
            </w:r>
            <w:r>
              <w:rPr>
                <w:sz w:val="20"/>
              </w:rPr>
              <w:lastRenderedPageBreak/>
              <w:t>rodzajów</w:t>
            </w:r>
          </w:p>
        </w:tc>
      </w:tr>
      <w:tr w:rsidR="00074C84">
        <w:trPr>
          <w:trHeight w:val="18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lastRenderedPageBreak/>
              <w:t>102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5.10.00.0000062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zaopatrzenie w przedmiot ortopedyczny w leczeniu wrodzonej sztywności wielostawowej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koszt wyrobu wykonanego na zamówienie,</w:t>
            </w:r>
            <w:r>
              <w:rPr>
                <w:color w:val="000000"/>
                <w:sz w:val="20"/>
                <w:u w:color="000000"/>
              </w:rPr>
              <w:br/>
              <w:t xml:space="preserve">o którym mowa w ustawie z dnia 7 kwietnia 2022 r. o wyrobach medycznych (Dz. U. poz. 974) </w:t>
            </w:r>
            <w:r>
              <w:rPr>
                <w:color w:val="000000"/>
                <w:sz w:val="20"/>
                <w:u w:color="000000"/>
              </w:rPr>
              <w:t>art. 2 pkt. 36; udokumentowany fakturą; możliwość rozliczenia ze świadczeniami w trybie hospitalizacji z niniejszego zakresu</w:t>
            </w:r>
          </w:p>
        </w:tc>
      </w:tr>
      <w:tr w:rsidR="00074C84">
        <w:trPr>
          <w:trHeight w:val="28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t>103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5.10.00.0000063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porada zabiegowa w leczeniu wrodzonej sztywności wielostawowej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270,89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korekcje manualne </w:t>
            </w:r>
            <w:r>
              <w:rPr>
                <w:sz w:val="20"/>
              </w:rPr>
              <w:t>deformacji i założenie unieruchomienia gipsowego; usunięcie materiału zespalającego po leczeniu operacyjnym; nie można sumować ze świadczeniami nr:5.10.00.0000058, 5.10.00.0000059, 5.10.00.0000060, 5.10.00.0000061, 5.10.00.0000062</w:t>
            </w:r>
          </w:p>
        </w:tc>
      </w:tr>
      <w:tr w:rsidR="00074C84">
        <w:trPr>
          <w:trHeight w:val="746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104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5.10.00.0000064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porada zachowawcza w leczeniu wrodzonej sztywności wielostawowej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74,16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diagnostyka RTG, pobranie miary/korekta </w:t>
            </w:r>
            <w:proofErr w:type="spellStart"/>
            <w:r>
              <w:rPr>
                <w:sz w:val="20"/>
              </w:rPr>
              <w:t>ortez</w:t>
            </w:r>
            <w:proofErr w:type="spellEnd"/>
            <w:r>
              <w:rPr>
                <w:sz w:val="20"/>
              </w:rPr>
              <w:t xml:space="preserve">;  nie można sumować ze świadczeniami nr:5.10.00.0000058, 5.10.00.0000059, 5.10.00.0000060, </w:t>
            </w:r>
            <w:r>
              <w:rPr>
                <w:sz w:val="20"/>
              </w:rPr>
              <w:lastRenderedPageBreak/>
              <w:t>5.10.00.0000061, 5.10.00.0000062</w:t>
            </w:r>
          </w:p>
        </w:tc>
      </w:tr>
      <w:tr w:rsidR="00074C84">
        <w:trPr>
          <w:trHeight w:val="13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105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5.10.00.0000157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niepełnosprawności.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- za osobodzień;</w:t>
            </w:r>
            <w:r>
              <w:rPr>
                <w:color w:val="000000"/>
                <w:sz w:val="20"/>
                <w:u w:color="000000"/>
              </w:rPr>
              <w:br/>
              <w:t xml:space="preserve">- do rozliczania z produktami : </w:t>
            </w:r>
            <w:r>
              <w:rPr>
                <w:color w:val="000000"/>
                <w:sz w:val="20"/>
                <w:u w:color="000000"/>
              </w:rPr>
              <w:t>5.10.00.0000058, 5.10.00.0000059, 5.10.00.0000060, 5.10.00.0000061;</w:t>
            </w:r>
            <w:r>
              <w:rPr>
                <w:color w:val="000000"/>
                <w:sz w:val="20"/>
                <w:u w:color="000000"/>
              </w:rPr>
              <w:br/>
              <w:t>- do rozliczenia niezbędne jest oświadczenie przedstawiciela ustawowego albo opiekuna faktycznego pacjenta zgodnie ze wzorem stanowiącym załącznik nr 15 do zarządzenia;</w:t>
            </w:r>
            <w:r>
              <w:rPr>
                <w:color w:val="000000"/>
                <w:sz w:val="20"/>
                <w:u w:color="000000"/>
              </w:rPr>
              <w:br/>
              <w:t>- w przypadku opiek</w:t>
            </w:r>
            <w:r>
              <w:rPr>
                <w:color w:val="000000"/>
                <w:sz w:val="20"/>
                <w:u w:color="000000"/>
              </w:rPr>
              <w:t>i nad pacjentem posiadającym orzeczenie o znacznym stopniu niepełnosprawności konieczne jest przekazanie kodu uprawnienia;</w:t>
            </w:r>
            <w:r>
              <w:rPr>
                <w:color w:val="000000"/>
                <w:sz w:val="20"/>
                <w:u w:color="000000"/>
              </w:rPr>
              <w:br/>
              <w:t>- rozliczany wyłącznie w przypadku  sprawowania dodatkowej opieki pielęgnacyjnej, o której mowa w art. 34 ust. 3 ustawy z dnia 16 maj</w:t>
            </w:r>
            <w:r>
              <w:rPr>
                <w:color w:val="000000"/>
                <w:sz w:val="20"/>
                <w:u w:color="000000"/>
              </w:rPr>
              <w:t>a 2019 r. o zmianie ustawy o prawach pacjenta i Rzeczniku Praw Pacjenta (Dz. U. poz.1128).</w:t>
            </w:r>
          </w:p>
        </w:tc>
      </w:tr>
      <w:tr w:rsidR="00074C84">
        <w:trPr>
          <w:trHeight w:val="492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106</w:t>
            </w:r>
          </w:p>
        </w:tc>
        <w:tc>
          <w:tcPr>
            <w:tcW w:w="13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11.0000.049.02</w:t>
            </w:r>
          </w:p>
        </w:tc>
        <w:tc>
          <w:tcPr>
            <w:tcW w:w="139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leczenie spastyczności opornej na leczenie farmakologiczne z zastosowaniem pompy </w:t>
            </w:r>
            <w:proofErr w:type="spellStart"/>
            <w:r>
              <w:rPr>
                <w:sz w:val="20"/>
              </w:rPr>
              <w:t>baklofenowej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5.10.00.0000067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pompa </w:t>
            </w:r>
            <w:proofErr w:type="spellStart"/>
            <w:r>
              <w:rPr>
                <w:sz w:val="20"/>
              </w:rPr>
              <w:t>baklofenowa</w:t>
            </w:r>
            <w:proofErr w:type="spellEnd"/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koszt zakupu kompletnego zestawu pompy </w:t>
            </w:r>
            <w:proofErr w:type="spellStart"/>
            <w:r>
              <w:rPr>
                <w:sz w:val="20"/>
              </w:rPr>
              <w:t>baklofenowej</w:t>
            </w:r>
            <w:proofErr w:type="spellEnd"/>
            <w:r>
              <w:rPr>
                <w:sz w:val="20"/>
              </w:rPr>
              <w:t xml:space="preserve"> - zgodny z wynikiem postępowania o udzielenie zamówienia publicznego</w:t>
            </w:r>
          </w:p>
        </w:tc>
      </w:tr>
      <w:tr w:rsidR="00074C84">
        <w:trPr>
          <w:trHeight w:val="768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107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5.10.00.0000068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cewnik do pompy </w:t>
            </w:r>
            <w:proofErr w:type="spellStart"/>
            <w:r>
              <w:rPr>
                <w:sz w:val="20"/>
              </w:rPr>
              <w:t>baklofenowej</w:t>
            </w:r>
            <w:proofErr w:type="spellEnd"/>
            <w:r>
              <w:rPr>
                <w:sz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- koszt cewnika wraz z osprzętem wg faktury </w:t>
            </w:r>
            <w:r>
              <w:rPr>
                <w:sz w:val="20"/>
              </w:rPr>
              <w:t>zakupu;                                - rozliczenie wyłącznie w przypadku wymiany</w:t>
            </w:r>
          </w:p>
        </w:tc>
      </w:tr>
      <w:tr w:rsidR="00074C84">
        <w:trPr>
          <w:trHeight w:val="142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5.10.00.0000069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założenie / wymiana / usunięcie pompy </w:t>
            </w:r>
            <w:proofErr w:type="spellStart"/>
            <w:r>
              <w:rPr>
                <w:sz w:val="20"/>
              </w:rPr>
              <w:t>baklofenowej</w:t>
            </w:r>
            <w:proofErr w:type="spellEnd"/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3 360,89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 -wymiana nie wcześniej niż przed upływem  okresu gwarancji;</w:t>
            </w:r>
            <w:r>
              <w:rPr>
                <w:color w:val="000000"/>
                <w:sz w:val="20"/>
                <w:u w:color="000000"/>
              </w:rPr>
              <w:br/>
              <w:t xml:space="preserve">-  nie obejmuje </w:t>
            </w:r>
            <w:r>
              <w:rPr>
                <w:color w:val="000000"/>
                <w:sz w:val="20"/>
                <w:u w:color="000000"/>
              </w:rPr>
              <w:t xml:space="preserve">kosztu  pomy </w:t>
            </w:r>
            <w:proofErr w:type="spellStart"/>
            <w:r>
              <w:rPr>
                <w:color w:val="000000"/>
                <w:sz w:val="20"/>
                <w:u w:color="000000"/>
              </w:rPr>
              <w:t>baklofenowej</w:t>
            </w:r>
            <w:proofErr w:type="spellEnd"/>
            <w:r>
              <w:rPr>
                <w:color w:val="000000"/>
                <w:sz w:val="20"/>
                <w:u w:color="000000"/>
              </w:rPr>
              <w:t>  i </w:t>
            </w:r>
            <w:proofErr w:type="spellStart"/>
            <w:r>
              <w:rPr>
                <w:color w:val="000000"/>
                <w:sz w:val="20"/>
                <w:u w:color="000000"/>
              </w:rPr>
              <w:t>baklofenu</w:t>
            </w:r>
            <w:proofErr w:type="spellEnd"/>
          </w:p>
        </w:tc>
      </w:tr>
      <w:tr w:rsidR="00074C84">
        <w:trPr>
          <w:trHeight w:val="60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109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5.10.00.0000070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wymiana  cewnika z przestrzeni nadtwardówkowej, podpajęczynówkowej lub podtwardówkowej rdzenia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1 680,96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nie obejmuje kosztu cewnika do pompy </w:t>
            </w:r>
            <w:proofErr w:type="spellStart"/>
            <w:r>
              <w:rPr>
                <w:sz w:val="20"/>
              </w:rPr>
              <w:t>baklofenowej</w:t>
            </w:r>
            <w:proofErr w:type="spellEnd"/>
            <w:r>
              <w:rPr>
                <w:sz w:val="20"/>
              </w:rPr>
              <w:t xml:space="preserve"> i </w:t>
            </w:r>
            <w:proofErr w:type="spellStart"/>
            <w:r>
              <w:rPr>
                <w:sz w:val="20"/>
              </w:rPr>
              <w:t>baklofenu</w:t>
            </w:r>
            <w:proofErr w:type="spellEnd"/>
          </w:p>
        </w:tc>
      </w:tr>
      <w:tr w:rsidR="00074C84">
        <w:trPr>
          <w:trHeight w:val="54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5.10.00.0000071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hospitalizacja związana z uzupełnieniem pompy </w:t>
            </w:r>
            <w:proofErr w:type="spellStart"/>
            <w:r>
              <w:rPr>
                <w:sz w:val="20"/>
              </w:rPr>
              <w:t>baklofenowej</w:t>
            </w:r>
            <w:proofErr w:type="spellEnd"/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532,51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nie obejmuje kosztu </w:t>
            </w:r>
            <w:proofErr w:type="spellStart"/>
            <w:r>
              <w:rPr>
                <w:sz w:val="20"/>
              </w:rPr>
              <w:t>baklofenu</w:t>
            </w:r>
            <w:proofErr w:type="spellEnd"/>
            <w:r>
              <w:rPr>
                <w:sz w:val="20"/>
              </w:rPr>
              <w:t> </w:t>
            </w:r>
          </w:p>
        </w:tc>
      </w:tr>
      <w:tr w:rsidR="00074C84">
        <w:trPr>
          <w:trHeight w:val="18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111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5.10.00.0000072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test </w:t>
            </w:r>
            <w:proofErr w:type="spellStart"/>
            <w:r>
              <w:rPr>
                <w:sz w:val="20"/>
              </w:rPr>
              <w:t>baklofenowy</w:t>
            </w:r>
            <w:proofErr w:type="spellEnd"/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632,00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obejmuje wszystkie koszty, w tym koszt </w:t>
            </w:r>
            <w:proofErr w:type="spellStart"/>
            <w:r>
              <w:rPr>
                <w:sz w:val="20"/>
              </w:rPr>
              <w:t>baklofenu</w:t>
            </w:r>
            <w:proofErr w:type="spellEnd"/>
          </w:p>
        </w:tc>
      </w:tr>
      <w:tr w:rsidR="00074C84">
        <w:trPr>
          <w:trHeight w:val="30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112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5.10.00.0000073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proofErr w:type="spellStart"/>
            <w:r>
              <w:rPr>
                <w:sz w:val="20"/>
              </w:rPr>
              <w:t>baklofen</w:t>
            </w:r>
            <w:proofErr w:type="spellEnd"/>
            <w:r>
              <w:rPr>
                <w:sz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747,00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za jedną ampułkę  zawierającą 10 mg </w:t>
            </w:r>
            <w:proofErr w:type="spellStart"/>
            <w:r>
              <w:rPr>
                <w:sz w:val="20"/>
              </w:rPr>
              <w:t>baklofenu</w:t>
            </w:r>
            <w:proofErr w:type="spellEnd"/>
          </w:p>
        </w:tc>
      </w:tr>
      <w:tr w:rsidR="00074C84">
        <w:trPr>
          <w:trHeight w:val="103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5.10.00.0000157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niepełnosprawności.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- za osobodzień;</w:t>
            </w:r>
            <w:r>
              <w:rPr>
                <w:color w:val="000000"/>
                <w:sz w:val="20"/>
                <w:u w:color="000000"/>
              </w:rPr>
              <w:br/>
              <w:t xml:space="preserve">- do rozliczania z produktami : 5.10.00.0000069, 5.10.00.0000070, </w:t>
            </w:r>
            <w:r>
              <w:rPr>
                <w:color w:val="000000"/>
                <w:sz w:val="20"/>
                <w:u w:color="000000"/>
              </w:rPr>
              <w:br/>
              <w:t>5.10.00.0000071, 5.10.00.0000072;</w:t>
            </w:r>
            <w:r>
              <w:rPr>
                <w:color w:val="000000"/>
                <w:sz w:val="20"/>
                <w:u w:color="000000"/>
              </w:rPr>
              <w:br/>
              <w:t xml:space="preserve">- do rozliczenia niezbędne jest oświadczenie przedstawiciela ustawowego albo opiekuna faktycznego pacjenta zgodnie ze </w:t>
            </w:r>
            <w:r>
              <w:rPr>
                <w:color w:val="000000"/>
                <w:sz w:val="20"/>
                <w:u w:color="000000"/>
              </w:rPr>
              <w:t>wzorem stanowiącym załącznik nr 15 do zarządzenia;</w:t>
            </w:r>
            <w:r>
              <w:rPr>
                <w:color w:val="000000"/>
                <w:sz w:val="20"/>
                <w:u w:color="000000"/>
              </w:rPr>
              <w:br/>
              <w:t>- w przypadku opieki nad pacjentem posiadającym orzeczenie o znacznym stopniu niepełnosprawności konieczne jest przekazanie kodu uprawnienia;</w:t>
            </w:r>
            <w:r>
              <w:rPr>
                <w:color w:val="000000"/>
                <w:sz w:val="20"/>
                <w:u w:color="000000"/>
              </w:rPr>
              <w:br/>
              <w:t>- rozliczany wyłącznie w przypadku  sprawowania dodatkowej opie</w:t>
            </w:r>
            <w:r>
              <w:rPr>
                <w:color w:val="000000"/>
                <w:sz w:val="20"/>
                <w:u w:color="000000"/>
              </w:rPr>
              <w:t>ki pielęgnacyjnej, o której mowa w art. 34 ust. 3 ustawy z dnia 16 maja 2019 r. o zmianie ustawy o prawach pacjenta i Rzeczniku Praw Pacjenta (Dz. U. poz.1128).</w:t>
            </w:r>
          </w:p>
        </w:tc>
      </w:tr>
      <w:tr w:rsidR="00074C84">
        <w:trPr>
          <w:trHeight w:val="912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t>114</w:t>
            </w:r>
          </w:p>
        </w:tc>
        <w:tc>
          <w:tcPr>
            <w:tcW w:w="13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11.0000.050.12</w:t>
            </w:r>
          </w:p>
        </w:tc>
        <w:tc>
          <w:tcPr>
            <w:tcW w:w="139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proofErr w:type="spellStart"/>
            <w:r>
              <w:rPr>
                <w:sz w:val="20"/>
              </w:rPr>
              <w:t>Teleradioterapia</w:t>
            </w:r>
            <w:proofErr w:type="spellEnd"/>
            <w:r>
              <w:rPr>
                <w:sz w:val="20"/>
              </w:rPr>
              <w:t xml:space="preserve"> protonowa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5.10.00.0000076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proofErr w:type="spellStart"/>
            <w:r>
              <w:rPr>
                <w:sz w:val="20"/>
              </w:rPr>
              <w:t>teleradioterapia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hadronowa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wiązką protonów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świadczenie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- za cały proces leczenia,</w:t>
            </w:r>
            <w:r>
              <w:rPr>
                <w:color w:val="000000"/>
                <w:sz w:val="20"/>
                <w:u w:color="000000"/>
              </w:rPr>
              <w:br/>
              <w:t xml:space="preserve">- dotyczy świadczenia gwarantowanego "Terapia protonowa </w:t>
            </w:r>
            <w:r>
              <w:rPr>
                <w:color w:val="000000"/>
                <w:sz w:val="20"/>
                <w:u w:color="000000"/>
              </w:rPr>
              <w:lastRenderedPageBreak/>
              <w:t>nowotworów oka", określonego w zał. nr 4  do rozporządzenia szpitalnego</w:t>
            </w:r>
          </w:p>
        </w:tc>
      </w:tr>
      <w:tr w:rsidR="00074C84">
        <w:trPr>
          <w:trHeight w:val="9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lastRenderedPageBreak/>
              <w:t>115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5.10.00.0000157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koszt pobytu przedstawiciela ustawowego </w:t>
            </w:r>
            <w:r>
              <w:rPr>
                <w:sz w:val="20"/>
              </w:rPr>
              <w:t>albo opiekuna faktycznego przy pacjencie małoletnim lub posiadającym orzeczenie o znacznym stopniu niepełnosprawności.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- za osobodzień;</w:t>
            </w:r>
            <w:r>
              <w:rPr>
                <w:color w:val="000000"/>
                <w:sz w:val="20"/>
                <w:u w:color="000000"/>
              </w:rPr>
              <w:br/>
              <w:t>- do rozliczania z produktem 5.10.00.0000076;</w:t>
            </w:r>
            <w:r>
              <w:rPr>
                <w:color w:val="000000"/>
                <w:sz w:val="20"/>
                <w:u w:color="000000"/>
              </w:rPr>
              <w:br/>
              <w:t xml:space="preserve">- do rozliczenia niezbędne jest oświadczenie </w:t>
            </w:r>
            <w:r>
              <w:rPr>
                <w:color w:val="000000"/>
                <w:sz w:val="20"/>
                <w:u w:color="000000"/>
              </w:rPr>
              <w:t>przedstawiciela ustawowego albo opiekuna faktycznego pacjenta zgodnie ze wzorem stanowiącym załącznik nr 15 do zarządzenia;</w:t>
            </w:r>
            <w:r>
              <w:rPr>
                <w:color w:val="000000"/>
                <w:sz w:val="20"/>
                <w:u w:color="000000"/>
              </w:rPr>
              <w:br/>
              <w:t>- w przypadku opieki nad pacjentem posiadającym orzeczenie o znacznym stopniu niepełnosprawności konieczne jest przekazanie kodu upr</w:t>
            </w:r>
            <w:r>
              <w:rPr>
                <w:color w:val="000000"/>
                <w:sz w:val="20"/>
                <w:u w:color="000000"/>
              </w:rPr>
              <w:t>awnienia;</w:t>
            </w:r>
            <w:r>
              <w:rPr>
                <w:color w:val="000000"/>
                <w:sz w:val="20"/>
                <w:u w:color="000000"/>
              </w:rPr>
              <w:br/>
              <w:t>- rozliczany wyłącznie w przypadku  sprawowania dodatkowej opieki pielęgnacyjnej, o której mowa w art. 34 ust. 3 ustawy z dnia 16 maja 2019 r. o zmianie ustawy o prawach pacjenta i Rzeczniku Praw Pacjenta (Dz. U.  poz.1128).</w:t>
            </w:r>
          </w:p>
        </w:tc>
      </w:tr>
      <w:tr w:rsidR="00074C84">
        <w:trPr>
          <w:trHeight w:val="204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116</w:t>
            </w:r>
          </w:p>
        </w:tc>
        <w:tc>
          <w:tcPr>
            <w:tcW w:w="13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11.0000.950.12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proofErr w:type="spellStart"/>
            <w:r>
              <w:rPr>
                <w:color w:val="000000"/>
                <w:sz w:val="20"/>
                <w:u w:color="000000"/>
              </w:rPr>
              <w:t>Teleradioterapia</w:t>
            </w:r>
            <w:proofErr w:type="spellEnd"/>
            <w:r>
              <w:rPr>
                <w:color w:val="000000"/>
                <w:sz w:val="20"/>
                <w:u w:color="000000"/>
              </w:rPr>
              <w:t xml:space="preserve"> protonowa</w:t>
            </w:r>
            <w:r>
              <w:rPr>
                <w:color w:val="000000"/>
                <w:sz w:val="20"/>
                <w:u w:color="000000"/>
              </w:rPr>
              <w:br/>
              <w:t xml:space="preserve">- pakiet </w:t>
            </w:r>
            <w:r>
              <w:rPr>
                <w:color w:val="000000"/>
                <w:sz w:val="20"/>
                <w:u w:color="000000"/>
              </w:rPr>
              <w:lastRenderedPageBreak/>
              <w:t>onkologiczny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5.10.00.0000076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proofErr w:type="spellStart"/>
            <w:r>
              <w:rPr>
                <w:sz w:val="20"/>
              </w:rPr>
              <w:t>teleradioterapia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hadronowa</w:t>
            </w:r>
            <w:proofErr w:type="spellEnd"/>
            <w:r>
              <w:rPr>
                <w:sz w:val="20"/>
              </w:rPr>
              <w:t xml:space="preserve"> wiązką </w:t>
            </w:r>
            <w:r>
              <w:rPr>
                <w:sz w:val="20"/>
              </w:rPr>
              <w:lastRenderedPageBreak/>
              <w:t>protonów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świadczenie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- za cały proces leczenia;</w:t>
            </w:r>
            <w:r>
              <w:rPr>
                <w:color w:val="000000"/>
                <w:sz w:val="20"/>
                <w:u w:color="000000"/>
              </w:rPr>
              <w:br/>
              <w:t xml:space="preserve">- dotyczy świadczenia gwarantowanego </w:t>
            </w:r>
            <w:r>
              <w:rPr>
                <w:color w:val="000000"/>
                <w:sz w:val="20"/>
                <w:u w:color="000000"/>
              </w:rPr>
              <w:lastRenderedPageBreak/>
              <w:t xml:space="preserve">"Terapia protonowa nowotworów oka", określonego w zał. nr 4  do </w:t>
            </w:r>
            <w:r>
              <w:rPr>
                <w:color w:val="000000"/>
                <w:sz w:val="20"/>
                <w:u w:color="000000"/>
              </w:rPr>
              <w:t>rozporządzenia szpitalnego</w:t>
            </w:r>
          </w:p>
        </w:tc>
      </w:tr>
      <w:tr w:rsidR="00074C84">
        <w:trPr>
          <w:trHeight w:val="79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117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5.10.00.0000157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niepełnosprawności.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- za osobodzień;</w:t>
            </w:r>
            <w:r>
              <w:rPr>
                <w:color w:val="000000"/>
                <w:sz w:val="20"/>
                <w:u w:color="000000"/>
              </w:rPr>
              <w:br/>
              <w:t xml:space="preserve">- do </w:t>
            </w:r>
            <w:r>
              <w:rPr>
                <w:color w:val="000000"/>
                <w:sz w:val="20"/>
                <w:u w:color="000000"/>
              </w:rPr>
              <w:t>rozliczania z produktem 5.10.00.0000076;</w:t>
            </w:r>
            <w:r>
              <w:rPr>
                <w:color w:val="000000"/>
                <w:sz w:val="20"/>
                <w:u w:color="000000"/>
              </w:rPr>
              <w:br/>
              <w:t>- do rozliczenia niezbędne jest oświadczenie przedstawiciela ustawowego albo opiekuna faktycznego pacjenta zgodnie ze wzorem stanowiącym załącznik nr 15 do zarządzenia;</w:t>
            </w:r>
            <w:r>
              <w:rPr>
                <w:color w:val="000000"/>
                <w:sz w:val="20"/>
                <w:u w:color="000000"/>
              </w:rPr>
              <w:br/>
              <w:t>- w przypadku opieki nad pacjentem posiadający</w:t>
            </w:r>
            <w:r>
              <w:rPr>
                <w:color w:val="000000"/>
                <w:sz w:val="20"/>
                <w:u w:color="000000"/>
              </w:rPr>
              <w:t>m orzeczenie o znacznym stopniu niepełnosprawności konieczne jest przekazanie kodu uprawnienia;</w:t>
            </w:r>
            <w:r>
              <w:rPr>
                <w:color w:val="000000"/>
                <w:sz w:val="20"/>
                <w:u w:color="000000"/>
              </w:rPr>
              <w:br/>
              <w:t xml:space="preserve">- rozliczany wyłącznie w przypadku  sprawowania dodatkowej opieki pielęgnacyjnej, o której mowa w art. 34 ust. 3 ustawy z dnia 16 maja 2019 r. o zmianie ustawy </w:t>
            </w:r>
            <w:r>
              <w:rPr>
                <w:color w:val="000000"/>
                <w:sz w:val="20"/>
                <w:u w:color="000000"/>
              </w:rPr>
              <w:t>o prawach pacjenta i Rzeczniku Praw Pacjenta (Dz. U. poz.1128).</w:t>
            </w:r>
          </w:p>
        </w:tc>
      </w:tr>
      <w:tr w:rsidR="00074C84">
        <w:trPr>
          <w:trHeight w:val="1068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118</w:t>
            </w:r>
          </w:p>
        </w:tc>
        <w:tc>
          <w:tcPr>
            <w:tcW w:w="13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11.0000.051.02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Domowa antybiotykoterapia dożylna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5.10.00.0000074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podanie antybiotyku dożylnie lub we wlewie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35,02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dotyczy świadczenia gwarantowanego określonego w załączniku nr</w:t>
            </w:r>
            <w:r>
              <w:rPr>
                <w:color w:val="000000"/>
                <w:sz w:val="20"/>
                <w:u w:color="000000"/>
              </w:rPr>
              <w:t xml:space="preserve"> 5 do rozporządzenia Lp. 20;</w:t>
            </w:r>
            <w:r>
              <w:rPr>
                <w:color w:val="000000"/>
                <w:sz w:val="20"/>
                <w:u w:color="000000"/>
              </w:rPr>
              <w:br/>
              <w:t>obejmuje także koszt:</w:t>
            </w:r>
            <w:r>
              <w:rPr>
                <w:color w:val="000000"/>
                <w:sz w:val="20"/>
                <w:u w:color="000000"/>
              </w:rPr>
              <w:br/>
              <w:t>- sprzętu i środków opatrunkowych,</w:t>
            </w:r>
            <w:r>
              <w:rPr>
                <w:color w:val="000000"/>
                <w:sz w:val="20"/>
                <w:u w:color="000000"/>
              </w:rPr>
              <w:br/>
              <w:t>- przygotowania pacjenta i opiekunów</w:t>
            </w:r>
          </w:p>
        </w:tc>
      </w:tr>
      <w:tr w:rsidR="00074C84">
        <w:trPr>
          <w:trHeight w:val="16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119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5.10.00.0000075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wizyta kontrolna po zakończeniu terapii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177,16</w:t>
            </w: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obejmuje także koszt:</w:t>
            </w:r>
            <w:r>
              <w:rPr>
                <w:color w:val="000000"/>
                <w:sz w:val="20"/>
                <w:u w:color="000000"/>
              </w:rPr>
              <w:br/>
              <w:t xml:space="preserve">- zapewnienia kontaktu </w:t>
            </w:r>
            <w:r>
              <w:rPr>
                <w:color w:val="000000"/>
                <w:sz w:val="20"/>
                <w:u w:color="000000"/>
              </w:rPr>
              <w:t>telefonicznego,</w:t>
            </w:r>
            <w:r>
              <w:rPr>
                <w:color w:val="000000"/>
                <w:sz w:val="20"/>
                <w:u w:color="000000"/>
              </w:rPr>
              <w:br/>
              <w:t>- badań wymienionych w załączniku nr 5 do rozporządzenia Lp. 20 część "Pozostałe wymagania" pkt 1 </w:t>
            </w:r>
            <w:proofErr w:type="spellStart"/>
            <w:r>
              <w:rPr>
                <w:color w:val="000000"/>
                <w:sz w:val="20"/>
                <w:u w:color="000000"/>
              </w:rPr>
              <w:t>ppkt</w:t>
            </w:r>
            <w:proofErr w:type="spellEnd"/>
            <w:r>
              <w:rPr>
                <w:color w:val="000000"/>
                <w:sz w:val="20"/>
                <w:u w:color="000000"/>
              </w:rPr>
              <w:t> 7).</w:t>
            </w:r>
          </w:p>
        </w:tc>
      </w:tr>
      <w:tr w:rsidR="00074C84">
        <w:trPr>
          <w:trHeight w:val="30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5.10.00.0000220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Antybiotyk podawany dożylnie (z listy antybiotyków wymienionej w załączniku nr 18) 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 xml:space="preserve">dotyczy </w:t>
            </w:r>
            <w:r>
              <w:rPr>
                <w:color w:val="000000"/>
                <w:sz w:val="20"/>
                <w:u w:color="000000"/>
              </w:rPr>
              <w:t>świadczenia gwarantowanego określonego w załączniku nr 5 do rozporządzenia Lp. 20;</w:t>
            </w:r>
            <w:r>
              <w:rPr>
                <w:color w:val="000000"/>
                <w:sz w:val="20"/>
                <w:u w:color="000000"/>
              </w:rPr>
              <w:br/>
              <w:t>za 100 mg substancji czynnej;</w:t>
            </w:r>
            <w:r>
              <w:rPr>
                <w:color w:val="000000"/>
                <w:sz w:val="20"/>
                <w:u w:color="000000"/>
              </w:rPr>
              <w:br/>
              <w:t>według rzeczywistego kosztu jednostki leku poniesionego przez świadczeniodawcę udokumentowanego fakturą</w:t>
            </w:r>
          </w:p>
        </w:tc>
      </w:tr>
      <w:tr w:rsidR="00074C84">
        <w:trPr>
          <w:trHeight w:val="5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121</w:t>
            </w:r>
          </w:p>
        </w:tc>
        <w:tc>
          <w:tcPr>
            <w:tcW w:w="13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11.9000.001.02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Kompleksowe </w:t>
            </w:r>
            <w:r>
              <w:rPr>
                <w:sz w:val="20"/>
              </w:rPr>
              <w:t>leczenie ran przewlekłych (KLRP-1)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5.10.00.0000077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KLRP-1 etap 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825,03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ryczałt (średnio 4 wizyty w ciągu 4 tygodni).</w:t>
            </w:r>
          </w:p>
        </w:tc>
      </w:tr>
      <w:tr w:rsidR="00074C84">
        <w:trPr>
          <w:trHeight w:val="5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122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5.10.00.0000078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KLRP-1 etap I z transportem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1 402,86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ryczałt (średnio 4 wizyty w ciągu 4 tygodni).</w:t>
            </w:r>
          </w:p>
        </w:tc>
      </w:tr>
      <w:tr w:rsidR="00074C84">
        <w:trPr>
          <w:trHeight w:val="276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123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5.10.00.0000079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KLRP-1 etap </w:t>
            </w:r>
            <w:proofErr w:type="spellStart"/>
            <w:r>
              <w:rPr>
                <w:sz w:val="20"/>
              </w:rPr>
              <w:t>IIa</w:t>
            </w:r>
            <w:proofErr w:type="spellEnd"/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701,43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ryczałt (średnio 8 wizyt w ciągu 12 tygodni)</w:t>
            </w:r>
          </w:p>
        </w:tc>
      </w:tr>
      <w:tr w:rsidR="00074C84">
        <w:trPr>
          <w:trHeight w:val="276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124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5.10.00.0000080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KLRP-1 etap </w:t>
            </w:r>
            <w:proofErr w:type="spellStart"/>
            <w:r>
              <w:rPr>
                <w:sz w:val="20"/>
              </w:rPr>
              <w:t>IIa</w:t>
            </w:r>
            <w:proofErr w:type="spellEnd"/>
            <w:r>
              <w:rPr>
                <w:sz w:val="20"/>
              </w:rPr>
              <w:t xml:space="preserve"> z transportem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1 193,77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ryczałt (średnio 8 wizyt w ciągu 12 tygodni)</w:t>
            </w:r>
          </w:p>
        </w:tc>
      </w:tr>
      <w:tr w:rsidR="00074C84">
        <w:trPr>
          <w:trHeight w:val="24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125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5.10.00.0000081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KLRP-1 etap </w:t>
            </w:r>
            <w:proofErr w:type="spellStart"/>
            <w:r>
              <w:rPr>
                <w:sz w:val="20"/>
              </w:rPr>
              <w:t>IIb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kategoria 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9 625,35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leczenie w oddziale - dotyczy głównie operacyjnego leczenia odleżyn, owrzodzeń popromiennych i przewlekłych ran pourazowych .</w:t>
            </w:r>
            <w:r>
              <w:rPr>
                <w:color w:val="000000"/>
                <w:sz w:val="20"/>
                <w:u w:color="000000"/>
              </w:rPr>
              <w:br/>
              <w:t>konieczne wykonanie co najmniej jednej z procedur ICD 9: 83.82, 86.71, 86.72, 86.73, 86.741, 86.74</w:t>
            </w:r>
            <w:r>
              <w:rPr>
                <w:color w:val="000000"/>
                <w:sz w:val="20"/>
                <w:u w:color="000000"/>
              </w:rPr>
              <w:t>2, 86.743, 86.744, 86.745, 86.746, 86.751, 86.79</w:t>
            </w:r>
          </w:p>
        </w:tc>
      </w:tr>
      <w:tr w:rsidR="00074C84">
        <w:trPr>
          <w:trHeight w:val="99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126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5.10.00.0000082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KLRP-1 etap </w:t>
            </w:r>
            <w:proofErr w:type="spellStart"/>
            <w:r>
              <w:rPr>
                <w:sz w:val="20"/>
              </w:rPr>
              <w:t>IIb</w:t>
            </w:r>
            <w:proofErr w:type="spellEnd"/>
            <w:r>
              <w:rPr>
                <w:sz w:val="20"/>
              </w:rPr>
              <w:t xml:space="preserve"> kategoria II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5 501,23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 xml:space="preserve">leczenie w oddziale - dotyczy operacji owrzodzeń o etiologii naczyniowej, stóp cukrzycowych, owrzodzeń powstałych w przebiegu bakteryjnego zapalenia skóry i tkanki podskórnej, łączy się z leczeniem opatrunkami z miejscowym podciśnieniem </w:t>
            </w:r>
            <w:r>
              <w:rPr>
                <w:color w:val="000000"/>
                <w:sz w:val="20"/>
                <w:u w:color="000000"/>
              </w:rPr>
              <w:br/>
              <w:t>konieczne wykonani</w:t>
            </w:r>
            <w:r>
              <w:rPr>
                <w:color w:val="000000"/>
                <w:sz w:val="20"/>
                <w:u w:color="000000"/>
              </w:rPr>
              <w:t>e co najmniej jednej z procedur ICD 9: 77.87, 77.88, 77.891, 77.892, 80.97, 80.98, 84.119, 84.129, 84.31, 84.32, 84.33, 86.221, 86.222, 86.223, 86.601, 86.602, 86.603, 86.609, 86.65, 86.71, 86.72, 86.73, 86.741, 86.742, 86.743, 86.744, 86.745, 86.746, 86.7</w:t>
            </w:r>
            <w:r>
              <w:rPr>
                <w:color w:val="000000"/>
                <w:sz w:val="20"/>
                <w:u w:color="000000"/>
              </w:rPr>
              <w:t>51, 86.752, 86.79, 86.89</w:t>
            </w:r>
          </w:p>
        </w:tc>
      </w:tr>
      <w:tr w:rsidR="00074C84">
        <w:trPr>
          <w:trHeight w:val="69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127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5.10.00.0000083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KLRP-1 etap </w:t>
            </w:r>
            <w:proofErr w:type="spellStart"/>
            <w:r>
              <w:rPr>
                <w:sz w:val="20"/>
              </w:rPr>
              <w:t>IIb</w:t>
            </w:r>
            <w:proofErr w:type="spellEnd"/>
            <w:r>
              <w:rPr>
                <w:sz w:val="20"/>
              </w:rPr>
              <w:t xml:space="preserve"> kategoria III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6 954,56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 xml:space="preserve">leczenie w oddziale - dotyczy operacji owrzodzeń o etiologii żylnej z operacją układu żylnego przeprowadzoną w czasie tej samej hospitalizacji </w:t>
            </w:r>
            <w:r>
              <w:rPr>
                <w:color w:val="000000"/>
                <w:sz w:val="20"/>
                <w:u w:color="000000"/>
              </w:rPr>
              <w:br/>
              <w:t xml:space="preserve">konieczne </w:t>
            </w:r>
            <w:r>
              <w:rPr>
                <w:color w:val="000000"/>
                <w:sz w:val="20"/>
                <w:u w:color="000000"/>
              </w:rPr>
              <w:t>wykonanie co najmniej jednej z procedur ICD 9: 86.221, 86.222, 86.223, 86.601, 86.602, 86.603, 86.609, 86.65 oraz co najmniej dwóch z procedur ICD 9: 38.50, 38.591, 38.592, 38.593, 38.594, 38.595, 38.596, 38.691, 38.692, 38.693, 38.694, 38.695, 38.696</w:t>
            </w:r>
          </w:p>
        </w:tc>
      </w:tr>
      <w:tr w:rsidR="00074C84">
        <w:trPr>
          <w:trHeight w:val="1177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128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5.10.00.0000084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KLRP-1 etap </w:t>
            </w:r>
            <w:proofErr w:type="spellStart"/>
            <w:r>
              <w:rPr>
                <w:sz w:val="20"/>
              </w:rPr>
              <w:t>IIb</w:t>
            </w:r>
            <w:proofErr w:type="spellEnd"/>
            <w:r>
              <w:rPr>
                <w:sz w:val="20"/>
              </w:rPr>
              <w:t xml:space="preserve"> kategoria IV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2 941,68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leczenie w oddziale - dotyczy operacji owrzodzeń o etiologii naczyniowej, stóp cukrzycowych, owrzodzeń powstałych w przebiegu bakteryjnego zapalenia skóry i tkanki podskórnej oraz leczenia</w:t>
            </w:r>
            <w:r>
              <w:rPr>
                <w:color w:val="000000"/>
                <w:sz w:val="20"/>
                <w:u w:color="000000"/>
              </w:rPr>
              <w:t xml:space="preserve"> opatrunkami z miejscowym podciśnieniem stosowane jako przygotowanie do zamknięcia rany, lub leczenie operacyjne w innym oddziale (finansowane na zasadach ogólnych – nie w ramach produktu).</w:t>
            </w:r>
            <w:r>
              <w:rPr>
                <w:color w:val="000000"/>
                <w:sz w:val="20"/>
                <w:u w:color="000000"/>
              </w:rPr>
              <w:br/>
              <w:t xml:space="preserve">konieczne wykonanie co </w:t>
            </w:r>
            <w:r>
              <w:rPr>
                <w:color w:val="000000"/>
                <w:sz w:val="20"/>
                <w:u w:color="000000"/>
              </w:rPr>
              <w:lastRenderedPageBreak/>
              <w:t>najmniej jednej z procedur ICD 9: 80.88, 86</w:t>
            </w:r>
            <w:r>
              <w:rPr>
                <w:color w:val="000000"/>
                <w:sz w:val="20"/>
                <w:u w:color="000000"/>
              </w:rPr>
              <w:t>.04, 86.221, 86.222, 86.229, 86.609, 86.89</w:t>
            </w:r>
          </w:p>
        </w:tc>
      </w:tr>
      <w:tr w:rsidR="00074C84">
        <w:trPr>
          <w:trHeight w:val="552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129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5.10.00.0000085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KLRP-1 etap III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295,61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ryczałt (średnio 4 wizyty w ciągu 8 tygodni):</w:t>
            </w:r>
          </w:p>
        </w:tc>
      </w:tr>
      <w:tr w:rsidR="00074C84">
        <w:trPr>
          <w:trHeight w:val="552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130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5.10.00.0000086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KLRP-1 etap III z transportem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504,70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ryczałt (średnio 4 wizyty w ciągu 8 </w:t>
            </w:r>
            <w:r>
              <w:rPr>
                <w:sz w:val="20"/>
              </w:rPr>
              <w:t>tygodni):</w:t>
            </w:r>
          </w:p>
        </w:tc>
      </w:tr>
      <w:tr w:rsidR="00074C84">
        <w:trPr>
          <w:trHeight w:val="816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131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5.10.00.0000087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KLRP-1 etap IV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307,97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ryczałt (wizyta kontrolna – po 3 miesiącach od zagojenia rany), obejmuje też: ewaluację wyników prowadzonej edukacji oraz ewaluację realizacji planu leczenia.</w:t>
            </w:r>
          </w:p>
        </w:tc>
      </w:tr>
      <w:tr w:rsidR="00074C84">
        <w:trPr>
          <w:trHeight w:val="576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132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5.10.00.0000088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KLRP-1 </w:t>
            </w:r>
            <w:r>
              <w:rPr>
                <w:sz w:val="20"/>
              </w:rPr>
              <w:t>etap IV z transportem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529,42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ryczałt (wizyta kontrolna – po 3 miesiącach od zagojenia rany), obejmuje też: ewaluację wyników prowadzonej edukacji oraz ewaluację realizacji planu leczenia.</w:t>
            </w:r>
          </w:p>
        </w:tc>
      </w:tr>
      <w:tr w:rsidR="00074C84">
        <w:trPr>
          <w:trHeight w:val="54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133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5.10.00.0000089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KLRP-1 etap IV bez zagojenia rany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221,45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ryczałt (wizyta kontrolna – po 3 miesiącach od zagojenia rany), obejmuje też: ewaluację wyników prowadzonej edukacji oraz ewaluację realizacji planu leczenia.</w:t>
            </w:r>
            <w:r>
              <w:rPr>
                <w:color w:val="000000"/>
                <w:sz w:val="20"/>
                <w:u w:color="000000"/>
              </w:rPr>
              <w:br/>
              <w:t>W przypadku braku zagojenia rany (konieczna dokumentacja fotograficzna, ocena p</w:t>
            </w:r>
            <w:r>
              <w:rPr>
                <w:color w:val="000000"/>
                <w:sz w:val="20"/>
                <w:u w:color="000000"/>
              </w:rPr>
              <w:t>lanimetryczna i/lub ocena głębokości rany)</w:t>
            </w:r>
          </w:p>
        </w:tc>
      </w:tr>
      <w:tr w:rsidR="00074C84">
        <w:trPr>
          <w:trHeight w:val="85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134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5.10.00.0000090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KLRP-1 etap IV bez zagojenia rany, z transportem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381,10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 xml:space="preserve">ryczałt (wizyta kontrolna – po 3 miesiącach od zagojenia rany), obejmuje też: ewaluację wyników prowadzonej edukacji oraz </w:t>
            </w:r>
            <w:r>
              <w:rPr>
                <w:color w:val="000000"/>
                <w:sz w:val="20"/>
                <w:u w:color="000000"/>
              </w:rPr>
              <w:t>ewaluację realizacji planu leczenia.</w:t>
            </w:r>
            <w:r>
              <w:rPr>
                <w:color w:val="000000"/>
                <w:sz w:val="20"/>
                <w:u w:color="000000"/>
              </w:rPr>
              <w:br/>
              <w:t>W przypadku braku zagojenia rany (konieczna dokumentacja fotograficzna, ocena planimetryczna i/lub ocena głębokości rany)</w:t>
            </w:r>
          </w:p>
        </w:tc>
      </w:tr>
      <w:tr w:rsidR="00074C84">
        <w:trPr>
          <w:trHeight w:val="1886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135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5.10.00.0000157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koszt pobytu przedstawiciela ustawowego albo opiekuna faktycznego przy </w:t>
            </w:r>
            <w:r>
              <w:rPr>
                <w:sz w:val="20"/>
              </w:rPr>
              <w:t>pacjencie małoletnim lub posiadającym orzeczenie o znacznym stopniu niepełnosprawności.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- za osobodzień;</w:t>
            </w:r>
            <w:r>
              <w:rPr>
                <w:color w:val="000000"/>
                <w:sz w:val="20"/>
                <w:u w:color="000000"/>
              </w:rPr>
              <w:br/>
              <w:t>- do rozliczania z produktami: 5.10.00.0000081, 5.10.00.0000082, 5.10.00.0000083, 5.10.00.0000084;</w:t>
            </w:r>
            <w:r>
              <w:rPr>
                <w:color w:val="000000"/>
                <w:sz w:val="20"/>
                <w:u w:color="000000"/>
              </w:rPr>
              <w:br/>
              <w:t>- do rozliczenia niezbędne jest o</w:t>
            </w:r>
            <w:r>
              <w:rPr>
                <w:color w:val="000000"/>
                <w:sz w:val="20"/>
                <w:u w:color="000000"/>
              </w:rPr>
              <w:t>świadczenie przedstawiciela ustawowego albo opiekuna faktycznego pacjenta zgodnie ze wzorem stanowiącym załącznik nr 15 do zarządzenia;</w:t>
            </w:r>
            <w:r>
              <w:rPr>
                <w:color w:val="000000"/>
                <w:sz w:val="20"/>
                <w:u w:color="000000"/>
              </w:rPr>
              <w:br/>
              <w:t>- w przypadku opieki nad pacjentem posiadającym orzeczenie o znacznym stopniu niepełnosprawności konieczne jest przekaza</w:t>
            </w:r>
            <w:r>
              <w:rPr>
                <w:color w:val="000000"/>
                <w:sz w:val="20"/>
                <w:u w:color="000000"/>
              </w:rPr>
              <w:t>nie kodu uprawnienia;</w:t>
            </w:r>
            <w:r>
              <w:rPr>
                <w:color w:val="000000"/>
                <w:sz w:val="20"/>
                <w:u w:color="000000"/>
              </w:rPr>
              <w:br/>
              <w:t xml:space="preserve">- rozliczany wyłącznie w przypadku  </w:t>
            </w:r>
            <w:r>
              <w:rPr>
                <w:color w:val="000000"/>
                <w:sz w:val="20"/>
                <w:u w:color="000000"/>
              </w:rPr>
              <w:lastRenderedPageBreak/>
              <w:t>sprawowania dodatkowej opieki pielęgnacyjnej, o której mowa w art. 34 ust. 3 ustawy z dnia 16 maja 2019 r. o zmianie ustawy o prawach pacjenta i Rzeczniku Praw Pacjenta (Dz. U.  poz.1128).</w:t>
            </w:r>
          </w:p>
        </w:tc>
      </w:tr>
      <w:tr w:rsidR="00074C84">
        <w:trPr>
          <w:trHeight w:val="39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136</w:t>
            </w:r>
          </w:p>
        </w:tc>
        <w:tc>
          <w:tcPr>
            <w:tcW w:w="133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11.1450.400.02</w:t>
            </w:r>
          </w:p>
        </w:tc>
        <w:tc>
          <w:tcPr>
            <w:tcW w:w="139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Koordynowana opieka nad kobietą w ciąży - KOC I (KOC I)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5.10.00.0000143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ryczałt KOC I  - od I trymestru ciąży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6 269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obejmuje opiekę, zgodnie z opisem KOC I, rozpoczętą przed końcem 14 tygodnia ciąży</w:t>
            </w:r>
          </w:p>
        </w:tc>
      </w:tr>
      <w:tr w:rsidR="00074C84">
        <w:trPr>
          <w:trHeight w:val="552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137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5.10.00.0000144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ryczałt KOC I -  od 15 tygodnia ciąży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5 758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obejmuje opiekę, zgodnie z opisem KOC I, rozpoczętą od 15 tygodnia ciąży</w:t>
            </w:r>
          </w:p>
        </w:tc>
      </w:tr>
      <w:tr w:rsidR="00074C84">
        <w:trPr>
          <w:trHeight w:val="79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138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5.10.00.0000145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ryczałt KOC I -  od 33 tygodnia ciąży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5 296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obejmuje opiekę, zgodnie z opisem KOC I, </w:t>
            </w:r>
            <w:r>
              <w:rPr>
                <w:sz w:val="20"/>
              </w:rPr>
              <w:t>rozpoczętą od 33 tygodnia ciąży</w:t>
            </w:r>
          </w:p>
        </w:tc>
      </w:tr>
      <w:tr w:rsidR="00074C84">
        <w:trPr>
          <w:trHeight w:val="54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139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5.10.00.0000146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ryczałt KOC I, w przypadku prowadzenia ciąży przez położną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4 878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rozliczany łącznie z produktem o kodzie: 5.10.00.0000147 "ryczałt KOC I  - prowadzenie ciąży przez położną", w przypadku </w:t>
            </w:r>
            <w:r>
              <w:rPr>
                <w:sz w:val="20"/>
              </w:rPr>
              <w:t xml:space="preserve">gdy ciążę prowadziła położna KOC I </w:t>
            </w:r>
            <w:proofErr w:type="spellStart"/>
            <w:r>
              <w:rPr>
                <w:sz w:val="20"/>
              </w:rPr>
              <w:t>i</w:t>
            </w:r>
            <w:proofErr w:type="spellEnd"/>
            <w:r>
              <w:rPr>
                <w:sz w:val="20"/>
              </w:rPr>
              <w:t xml:space="preserve"> poród odbył się u koordynatora</w:t>
            </w:r>
          </w:p>
        </w:tc>
      </w:tr>
      <w:tr w:rsidR="00074C84">
        <w:trPr>
          <w:trHeight w:val="747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140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5.10.00.0000147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ryczałt KOC I - prowadzenie ciąży przez położną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1 391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do łącznego rozliczania z produktem o kodzie: 5.10.00.0000146 "ryczałt KOC I, w przypadku </w:t>
            </w:r>
            <w:r>
              <w:rPr>
                <w:sz w:val="20"/>
              </w:rPr>
              <w:t xml:space="preserve">prowadzenia ciąży przez położną". Obejmuje prowadzenie ciąży fizjologicznej przez położną KOC I zgodnie ze schematem </w:t>
            </w:r>
            <w:r>
              <w:rPr>
                <w:sz w:val="20"/>
              </w:rPr>
              <w:lastRenderedPageBreak/>
              <w:t>wynikającym z rozporządzenia o opiece okołoporodowej</w:t>
            </w:r>
          </w:p>
        </w:tc>
      </w:tr>
      <w:tr w:rsidR="00074C84">
        <w:trPr>
          <w:trHeight w:val="2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141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5.10.00.0000114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(N22KOC) Noworodek wymagający intensywnej terapii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23 001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 xml:space="preserve"> - produkt dedykowany dla II poziomu opieki  neonatologicznej, </w:t>
            </w:r>
            <w:r>
              <w:rPr>
                <w:color w:val="000000"/>
                <w:sz w:val="20"/>
                <w:u w:color="000000"/>
              </w:rPr>
              <w:br/>
              <w:t>- rozliczanie na warunkach obowiązującej charakterystyki JGP określonej w obowiązującym  zarządzeniu Prezesa NFZ w sprawie określenia warunków zawierania i realizacji umów w rodzaju lecze</w:t>
            </w:r>
            <w:r>
              <w:rPr>
                <w:color w:val="000000"/>
                <w:sz w:val="20"/>
                <w:u w:color="000000"/>
              </w:rPr>
              <w:t xml:space="preserve">nie szpitalne oraz leczenie szpitalne – świadczenia wysokospecjalistyczne, </w:t>
            </w:r>
            <w:r>
              <w:rPr>
                <w:color w:val="000000"/>
                <w:sz w:val="20"/>
                <w:u w:color="000000"/>
              </w:rPr>
              <w:br/>
              <w:t xml:space="preserve">- obejmuje opiekę nad noworodkiem  wymagającym intensywnej terapii, </w:t>
            </w:r>
            <w:r>
              <w:rPr>
                <w:color w:val="000000"/>
                <w:sz w:val="20"/>
                <w:u w:color="000000"/>
              </w:rPr>
              <w:br/>
              <w:t>- w sytuacji, gdy świadczeniodawca wykorzystuje do żywienia noworodków odciągnięte mleko biologicznej matki lub</w:t>
            </w:r>
            <w:r>
              <w:rPr>
                <w:color w:val="000000"/>
                <w:sz w:val="20"/>
                <w:u w:color="000000"/>
              </w:rPr>
              <w:t xml:space="preserve"> mleko z Banku Mleka Kobiecego, przy rozliczaniu świadczenia wymagane jest wskazanie procedury 99.982 lub 99.983.</w:t>
            </w:r>
          </w:p>
        </w:tc>
      </w:tr>
      <w:tr w:rsidR="00074C84">
        <w:trPr>
          <w:trHeight w:val="13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142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5.10.00.0000219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(N22AKOC) Noworodek wymagający intensywnego monitorowania i specjalistycznej opieki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11 298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 xml:space="preserve"> - produkt </w:t>
            </w:r>
            <w:r>
              <w:rPr>
                <w:color w:val="000000"/>
                <w:sz w:val="20"/>
                <w:u w:color="000000"/>
              </w:rPr>
              <w:t>dedykowany dla  II poziomu opieki neonatologicznej,</w:t>
            </w:r>
            <w:r>
              <w:rPr>
                <w:color w:val="000000"/>
                <w:sz w:val="20"/>
                <w:u w:color="000000"/>
              </w:rPr>
              <w:br/>
              <w:t> - rozliczanie na warunkach obowiązującej charakterystyki JGP określonej w obowiązującym zarządzeniu Prezesa NFZ w sprawie określenia warunków zawierania i realizacji umów w rodzaju leczenie szpitalne ora</w:t>
            </w:r>
            <w:r>
              <w:rPr>
                <w:color w:val="000000"/>
                <w:sz w:val="20"/>
                <w:u w:color="000000"/>
              </w:rPr>
              <w:t>z leczenie szpitalne – świadczenia wysokospecjalistyczne,</w:t>
            </w:r>
            <w:r>
              <w:rPr>
                <w:color w:val="000000"/>
                <w:sz w:val="20"/>
                <w:u w:color="000000"/>
              </w:rPr>
              <w:br/>
              <w:t> - obejmuje opiekę nad noworodkiem  wymagającym intensywnej terapii  (m.in. noworodkiem ze skrajnie  niską urodzeniowa masą ciała, wrodzonymi wadami rozwojowymi, wodogłowiem),</w:t>
            </w:r>
            <w:r>
              <w:rPr>
                <w:color w:val="000000"/>
                <w:sz w:val="20"/>
                <w:u w:color="000000"/>
              </w:rPr>
              <w:br/>
              <w:t> - w sytuacji, gdy świ</w:t>
            </w:r>
            <w:r>
              <w:rPr>
                <w:color w:val="000000"/>
                <w:sz w:val="20"/>
                <w:u w:color="000000"/>
              </w:rPr>
              <w:t>adczeniodawca wykorzystuje do żywienia noworodków odciągnięte mleko biologicznej matki lub mleko z Banku Mleka Kobiecego, przy rozliczaniu świadczenia wymagane jest wskazanie procedury 99.982 lub 99.983</w:t>
            </w:r>
          </w:p>
        </w:tc>
      </w:tr>
      <w:tr w:rsidR="00074C84">
        <w:trPr>
          <w:trHeight w:val="10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143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5.10.00.0000115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(N23KOC) Noworodek </w:t>
            </w:r>
            <w:r>
              <w:rPr>
                <w:sz w:val="20"/>
              </w:rPr>
              <w:lastRenderedPageBreak/>
              <w:t xml:space="preserve">wymagający </w:t>
            </w:r>
            <w:r>
              <w:rPr>
                <w:sz w:val="20"/>
              </w:rPr>
              <w:t>rozszerzonej diagnostyki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27 738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 xml:space="preserve"> - produkt dedykowany dla II poziomu opieki </w:t>
            </w:r>
            <w:r>
              <w:rPr>
                <w:color w:val="000000"/>
                <w:sz w:val="20"/>
                <w:u w:color="000000"/>
              </w:rPr>
              <w:lastRenderedPageBreak/>
              <w:t xml:space="preserve">neonatologicznej, </w:t>
            </w:r>
            <w:r>
              <w:rPr>
                <w:color w:val="000000"/>
                <w:sz w:val="20"/>
                <w:u w:color="000000"/>
              </w:rPr>
              <w:br/>
            </w:r>
            <w:r>
              <w:rPr>
                <w:color w:val="000000"/>
                <w:sz w:val="20"/>
                <w:u w:color="000000"/>
              </w:rPr>
              <w:t>- rozliczanie na warunkach obowiązującej charakterystyki JGP określonej w obowiązującym  zarządzeniu Prezesa NFZ w sprawie określenia warunków zawierania i realizacji umów w rodzaju leczenie szpitalne oraz leczenie szpitalne – świadczenia wysokospecjalisty</w:t>
            </w:r>
            <w:r>
              <w:rPr>
                <w:color w:val="000000"/>
                <w:sz w:val="20"/>
                <w:u w:color="000000"/>
              </w:rPr>
              <w:t xml:space="preserve">czne, </w:t>
            </w:r>
            <w:r>
              <w:rPr>
                <w:color w:val="000000"/>
                <w:sz w:val="20"/>
                <w:u w:color="000000"/>
              </w:rPr>
              <w:br/>
              <w:t xml:space="preserve">- obejmuje opiekę nad noworodkiem wymagającym  intensywnej opieki, </w:t>
            </w:r>
            <w:r>
              <w:rPr>
                <w:color w:val="000000"/>
                <w:sz w:val="20"/>
                <w:u w:color="000000"/>
              </w:rPr>
              <w:br/>
              <w:t xml:space="preserve">- w sytuacji, gdy świadczeniodawca wykorzystuje do żywienia noworodków odciągnięte mleko biologicznej matki lub mleko z Banku Mleka Kobiecego, przy rozliczaniu świadczenia wymagane </w:t>
            </w:r>
            <w:r>
              <w:rPr>
                <w:color w:val="000000"/>
                <w:sz w:val="20"/>
                <w:u w:color="000000"/>
              </w:rPr>
              <w:t>jest wskazanie procedury 99.982 lub 99.983</w:t>
            </w:r>
          </w:p>
        </w:tc>
      </w:tr>
      <w:tr w:rsidR="00074C84">
        <w:trPr>
          <w:trHeight w:val="129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144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5.10.00.0000116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(N24KOC) Noworodek wymagający szczególnej opieki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5 456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- produkt dedykowany dla II poziomu opieki neonatologicznej, </w:t>
            </w:r>
            <w:r>
              <w:rPr>
                <w:color w:val="000000"/>
                <w:sz w:val="20"/>
                <w:u w:color="000000"/>
              </w:rPr>
              <w:br/>
              <w:t xml:space="preserve">- rozliczanie na warunkach obowiązującej charakterystyki JGP </w:t>
            </w:r>
            <w:r>
              <w:rPr>
                <w:color w:val="000000"/>
                <w:sz w:val="20"/>
                <w:u w:color="000000"/>
              </w:rPr>
              <w:t xml:space="preserve">określonej w obowiązującym zarządzeniu Prezesa NFZ </w:t>
            </w:r>
            <w:r>
              <w:rPr>
                <w:color w:val="000000"/>
                <w:sz w:val="20"/>
                <w:u w:color="000000"/>
              </w:rPr>
              <w:lastRenderedPageBreak/>
              <w:t>w sprawie określenia warunków zawierania i realizacji umów w rodzaju leczenie szpitalne oraz leczenie szpitalne – świadczenia wysokospecjalistyczne,</w:t>
            </w:r>
            <w:r>
              <w:rPr>
                <w:color w:val="000000"/>
                <w:sz w:val="20"/>
                <w:u w:color="000000"/>
              </w:rPr>
              <w:br/>
              <w:t>- produkt dedykowany dzieciom urodzonym w innym ośrodku,</w:t>
            </w:r>
            <w:r>
              <w:rPr>
                <w:color w:val="000000"/>
                <w:sz w:val="20"/>
                <w:u w:color="000000"/>
              </w:rPr>
              <w:t xml:space="preserve"> </w:t>
            </w:r>
            <w:r>
              <w:rPr>
                <w:color w:val="000000"/>
                <w:sz w:val="20"/>
                <w:u w:color="000000"/>
              </w:rPr>
              <w:br/>
              <w:t xml:space="preserve">- nie można sumować z ryczałtem KOC I, </w:t>
            </w:r>
            <w:r>
              <w:rPr>
                <w:color w:val="000000"/>
                <w:sz w:val="20"/>
                <w:u w:color="000000"/>
              </w:rPr>
              <w:br/>
              <w:t xml:space="preserve">- możliwość rozliczania hospitalizacji dziecka w wieku powyżej 6 tygodnia życia urodzonego u koordynatora, </w:t>
            </w:r>
            <w:r>
              <w:rPr>
                <w:color w:val="000000"/>
                <w:sz w:val="20"/>
                <w:u w:color="000000"/>
              </w:rPr>
              <w:br/>
              <w:t>- w sytuacji, gdy świadczeniodawca wykorzystuje do żywienia noworodków odciągnięte mleko biologicznej matk</w:t>
            </w:r>
            <w:r>
              <w:rPr>
                <w:color w:val="000000"/>
                <w:sz w:val="20"/>
                <w:u w:color="000000"/>
              </w:rPr>
              <w:t>i lub mleko z Banku Mleka Kobiecego, przy rozliczaniu świadczenia wymagane jest wskazanie procedury 99.982 lub 99.983.</w:t>
            </w:r>
          </w:p>
        </w:tc>
      </w:tr>
      <w:tr w:rsidR="00074C84">
        <w:trPr>
          <w:trHeight w:val="17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145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5.10.00.0000117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(N25KOC) Noworodek wymagający wzmożonego nadzoru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2 468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 xml:space="preserve"> - produkt dedykowany dla II poziomu opieki </w:t>
            </w:r>
            <w:r>
              <w:rPr>
                <w:color w:val="000000"/>
                <w:sz w:val="20"/>
                <w:u w:color="000000"/>
              </w:rPr>
              <w:t>neonatologicznej,</w:t>
            </w:r>
            <w:r>
              <w:rPr>
                <w:color w:val="000000"/>
                <w:sz w:val="20"/>
                <w:u w:color="000000"/>
              </w:rPr>
              <w:br/>
              <w:t xml:space="preserve"> - rozliczanie na warunkach obowiązującej charakterystyki JGP określonej w obowiązującym zarządzeniu Prezesa NFZ w sprawie określenia </w:t>
            </w:r>
            <w:r>
              <w:rPr>
                <w:color w:val="000000"/>
                <w:sz w:val="20"/>
                <w:u w:color="000000"/>
              </w:rPr>
              <w:lastRenderedPageBreak/>
              <w:t>warunków zawierania i realizacji umów w rodzaju leczenie szpitalne oraz leczenie szpitalne – świadczenia</w:t>
            </w:r>
            <w:r>
              <w:rPr>
                <w:color w:val="000000"/>
                <w:sz w:val="20"/>
                <w:u w:color="000000"/>
              </w:rPr>
              <w:t xml:space="preserve"> wysokospecjalistyczne,</w:t>
            </w:r>
            <w:r>
              <w:rPr>
                <w:color w:val="000000"/>
                <w:sz w:val="20"/>
                <w:u w:color="000000"/>
              </w:rPr>
              <w:br/>
              <w:t xml:space="preserve">- produkt dedykowany dzieciom urodzonym w innym ośrodku, </w:t>
            </w:r>
            <w:r>
              <w:rPr>
                <w:color w:val="000000"/>
                <w:sz w:val="20"/>
                <w:u w:color="000000"/>
              </w:rPr>
              <w:br/>
              <w:t>- nie można sumować z ryczałtem KOC I,</w:t>
            </w:r>
            <w:r>
              <w:rPr>
                <w:color w:val="000000"/>
                <w:sz w:val="20"/>
                <w:u w:color="000000"/>
              </w:rPr>
              <w:br/>
              <w:t xml:space="preserve">- możliwość rozliczania hospitalizacji  dziecka w wieku powyżej 6 tygodnia życia urodzonego u koordynatora, </w:t>
            </w:r>
            <w:r>
              <w:rPr>
                <w:color w:val="000000"/>
                <w:sz w:val="20"/>
                <w:u w:color="000000"/>
              </w:rPr>
              <w:br/>
              <w:t>- w sytuacji, gdy świadcze</w:t>
            </w:r>
            <w:r>
              <w:rPr>
                <w:color w:val="000000"/>
                <w:sz w:val="20"/>
                <w:u w:color="000000"/>
              </w:rPr>
              <w:t>niodawca wykorzystuje do żywienia noworodków odciągnięte mleko biologicznej matki lub mleko z Banku Mleka Kobiecego, przy rozliczaniu świadczenia wymagane jest wskazanie procedury 99.982 lub 99.983.</w:t>
            </w:r>
          </w:p>
        </w:tc>
      </w:tr>
      <w:tr w:rsidR="00074C84">
        <w:trPr>
          <w:trHeight w:val="15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146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5.10.00.0000148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hospitalizacja przed przekazaniem </w:t>
            </w:r>
            <w:r>
              <w:rPr>
                <w:sz w:val="20"/>
              </w:rPr>
              <w:t>do ośrodka o wyższym poziomie referencyjnym (KOC I)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668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rozliczanie wyłącznie w przypadku przeniesienia pacjentki do ośrodka wyższego poziomu referencyjnego, w sytuacji kiedy poród nie odbył się u koordynatora</w:t>
            </w:r>
          </w:p>
        </w:tc>
      </w:tr>
      <w:tr w:rsidR="00074C84">
        <w:trPr>
          <w:trHeight w:val="33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147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5.10.00.0000149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wizyta </w:t>
            </w:r>
            <w:r>
              <w:rPr>
                <w:sz w:val="20"/>
              </w:rPr>
              <w:t>patronażowa położnej (KOC I)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rozliczanie wyłącznie w przypadku wizyt patronażowych położnej KOC I; nie więcej niż 6 </w:t>
            </w:r>
            <w:r>
              <w:rPr>
                <w:sz w:val="20"/>
              </w:rPr>
              <w:lastRenderedPageBreak/>
              <w:t>wizyt w ciągu 2 miesięcy</w:t>
            </w:r>
          </w:p>
        </w:tc>
      </w:tr>
      <w:tr w:rsidR="00074C84">
        <w:trPr>
          <w:trHeight w:val="27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148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5.10.00.0000157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koszt pobytu przedstawiciela ustawowego albo opiekuna faktycznego przy </w:t>
            </w:r>
            <w:r>
              <w:rPr>
                <w:sz w:val="20"/>
              </w:rPr>
              <w:t>pacjencie małoletnim lub posiadającym orzeczenie o znacznym stopniu niepełnosprawności.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- za osobodzień;</w:t>
            </w:r>
            <w:r>
              <w:rPr>
                <w:color w:val="000000"/>
                <w:sz w:val="20"/>
                <w:u w:color="000000"/>
              </w:rPr>
              <w:br/>
              <w:t xml:space="preserve">- do rozliczania z produktami: </w:t>
            </w:r>
            <w:r>
              <w:rPr>
                <w:color w:val="000000"/>
                <w:sz w:val="20"/>
                <w:u w:color="000000"/>
              </w:rPr>
              <w:br/>
              <w:t>5.10.00.0000143, 5.10.00.0000144,</w:t>
            </w:r>
            <w:r>
              <w:rPr>
                <w:color w:val="000000"/>
                <w:sz w:val="20"/>
                <w:u w:color="000000"/>
              </w:rPr>
              <w:br/>
              <w:t>5.10.00.0000145, 5.10.00.0000146,</w:t>
            </w:r>
            <w:r>
              <w:rPr>
                <w:color w:val="000000"/>
                <w:sz w:val="20"/>
                <w:u w:color="000000"/>
              </w:rPr>
              <w:br/>
              <w:t>5.10.00.0000114, 5.10.00.0000115,</w:t>
            </w:r>
            <w:r>
              <w:rPr>
                <w:color w:val="000000"/>
                <w:sz w:val="20"/>
                <w:u w:color="000000"/>
              </w:rPr>
              <w:br/>
              <w:t>5</w:t>
            </w:r>
            <w:r>
              <w:rPr>
                <w:color w:val="000000"/>
                <w:sz w:val="20"/>
                <w:u w:color="000000"/>
              </w:rPr>
              <w:t>.10.00.0000116, 5.10.00.0000117,</w:t>
            </w:r>
            <w:r>
              <w:rPr>
                <w:color w:val="000000"/>
                <w:sz w:val="20"/>
                <w:u w:color="000000"/>
              </w:rPr>
              <w:br/>
              <w:t>5.10.00.0000148, 5.10.00.0000219;</w:t>
            </w:r>
            <w:r>
              <w:rPr>
                <w:color w:val="000000"/>
                <w:sz w:val="20"/>
                <w:u w:color="000000"/>
              </w:rPr>
              <w:br/>
              <w:t>- do rozliczenia niezbędne jest oświadczenie przedstawiciela ustawowego albo opiekuna faktycznego pacjenta zgodnie ze wzorem stanowiącym załącznik nr 15 do zarządzenia;</w:t>
            </w:r>
            <w:r>
              <w:rPr>
                <w:color w:val="000000"/>
                <w:sz w:val="20"/>
                <w:u w:color="000000"/>
              </w:rPr>
              <w:br/>
              <w:t>- w przypadku opieki</w:t>
            </w:r>
            <w:r>
              <w:rPr>
                <w:color w:val="000000"/>
                <w:sz w:val="20"/>
                <w:u w:color="000000"/>
              </w:rPr>
              <w:t xml:space="preserve"> nad pacjentem posiadającym orzeczenie o znacznym stopniu niepełnosprawności konieczne jest przekazanie kodu uprawnienia;</w:t>
            </w:r>
            <w:r>
              <w:rPr>
                <w:color w:val="000000"/>
                <w:sz w:val="20"/>
                <w:u w:color="000000"/>
              </w:rPr>
              <w:br/>
              <w:t>- rozliczany wyłącznie w przypadku  sprawowania dodatkowej opieki pielęgnacyjnej, o której mowa w art. 34 ust. 3 ustawy z dnia 16 maja</w:t>
            </w:r>
            <w:r>
              <w:rPr>
                <w:color w:val="000000"/>
                <w:sz w:val="20"/>
                <w:u w:color="000000"/>
              </w:rPr>
              <w:t xml:space="preserve"> 2019 r. o zmianie ustawy </w:t>
            </w:r>
            <w:r>
              <w:rPr>
                <w:color w:val="000000"/>
                <w:sz w:val="20"/>
                <w:u w:color="000000"/>
              </w:rPr>
              <w:lastRenderedPageBreak/>
              <w:t>o prawach pacjenta i Rzeczniku Praw Pacjenta (Dz. U.  poz.1128).</w:t>
            </w:r>
          </w:p>
        </w:tc>
      </w:tr>
      <w:tr w:rsidR="00074C84">
        <w:trPr>
          <w:trHeight w:val="27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149</w:t>
            </w:r>
          </w:p>
        </w:tc>
        <w:tc>
          <w:tcPr>
            <w:tcW w:w="13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11.9000.002.02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Kompleksowe leczenie ran przewlekłych 2 (KLRP-2)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5.10.00.0000158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KLRP-2 kwalifikacja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t>613,84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obejmuje wizytę pielęgniarską i lekarską ,</w:t>
            </w:r>
            <w:r>
              <w:rPr>
                <w:sz w:val="20"/>
              </w:rPr>
              <w:t xml:space="preserve"> (w tym badania) zgodnie z opisem KLRP-2; </w:t>
            </w:r>
          </w:p>
        </w:tc>
      </w:tr>
      <w:tr w:rsidR="00074C84">
        <w:trPr>
          <w:trHeight w:val="27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5.10.00.0000159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KLRP-2 etap I 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t>761,14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 xml:space="preserve">- ryczałt obejmuje 5 wizyt: </w:t>
            </w:r>
            <w:r>
              <w:rPr>
                <w:color w:val="000000"/>
                <w:sz w:val="20"/>
                <w:u w:color="000000"/>
              </w:rPr>
              <w:br/>
              <w:t xml:space="preserve">4 pielęgniarskie oraz 1 wizytę kontrolna lekarską zgodnie z opisem KLRP-2; </w:t>
            </w:r>
            <w:r>
              <w:rPr>
                <w:color w:val="000000"/>
                <w:sz w:val="20"/>
                <w:u w:color="000000"/>
              </w:rPr>
              <w:br/>
              <w:t xml:space="preserve">- w przypadku wizyt środowiskowych stosuje się </w:t>
            </w:r>
            <w:r>
              <w:rPr>
                <w:color w:val="000000"/>
                <w:sz w:val="20"/>
                <w:u w:color="000000"/>
              </w:rPr>
              <w:t>mnożnik 1,1</w:t>
            </w:r>
          </w:p>
        </w:tc>
      </w:tr>
      <w:tr w:rsidR="00074C84">
        <w:trPr>
          <w:trHeight w:val="78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151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5.10.00.0000160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KLRP-2 etap I B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620,19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 xml:space="preserve">- ryczałt obejmuje 4 wizyty </w:t>
            </w:r>
            <w:r>
              <w:rPr>
                <w:color w:val="000000"/>
                <w:sz w:val="20"/>
                <w:u w:color="000000"/>
              </w:rPr>
              <w:br/>
              <w:t>3 pielęgniarskie oraz 1 wizytę kontrolną lekarską, zgodnie z opisem KLRP-2;</w:t>
            </w:r>
            <w:r>
              <w:rPr>
                <w:color w:val="000000"/>
                <w:sz w:val="20"/>
                <w:u w:color="000000"/>
              </w:rPr>
              <w:br/>
              <w:t>- w przypadku wizyt środowiskowych stosuje się mnożnik 1,1</w:t>
            </w:r>
          </w:p>
        </w:tc>
      </w:tr>
      <w:tr w:rsidR="00074C84">
        <w:trPr>
          <w:trHeight w:val="744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152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5.10.00.0000161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KLRP-2 etap I C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761,14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- ryczałt obejmuje 5 wizyt: </w:t>
            </w:r>
            <w:r>
              <w:rPr>
                <w:color w:val="000000"/>
                <w:sz w:val="20"/>
                <w:u w:color="000000"/>
              </w:rPr>
              <w:br/>
              <w:t xml:space="preserve">4 pielęgniarskie oraz 1 wizytę kontrolną lekarską, zgodnie z opisem KLRP-2; </w:t>
            </w:r>
            <w:r>
              <w:rPr>
                <w:color w:val="000000"/>
                <w:sz w:val="20"/>
                <w:u w:color="000000"/>
              </w:rPr>
              <w:br/>
              <w:t>- w przypadku wizyt środowiskowych stosuje się mnożnik 1,1</w:t>
            </w:r>
          </w:p>
        </w:tc>
      </w:tr>
      <w:tr w:rsidR="00074C84">
        <w:trPr>
          <w:trHeight w:val="276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153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5.10.00.0000162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KLRP-2 etap I D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850,00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 zgodnie z opisem KLRP-2</w:t>
            </w:r>
          </w:p>
        </w:tc>
      </w:tr>
      <w:tr w:rsidR="00074C84">
        <w:trPr>
          <w:trHeight w:val="876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154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5.10.00.0000163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KLRP-2 etap II 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5 600,00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 xml:space="preserve">leczenie w oddziale szpitalnym - obejmuje chirurgiczne operacyjne oczyszczenie rany, </w:t>
            </w:r>
            <w:r>
              <w:rPr>
                <w:color w:val="000000"/>
                <w:sz w:val="20"/>
                <w:u w:color="000000"/>
              </w:rPr>
              <w:lastRenderedPageBreak/>
              <w:t xml:space="preserve">miejscową terapię podciśnieniem, przeszczep allogeniczny skóry lub owodni, zgodnie </w:t>
            </w:r>
            <w:r>
              <w:rPr>
                <w:color w:val="000000"/>
                <w:sz w:val="20"/>
                <w:u w:color="000000"/>
              </w:rPr>
              <w:t>z opisem KLRP-2;</w:t>
            </w:r>
            <w:r>
              <w:rPr>
                <w:color w:val="000000"/>
                <w:sz w:val="20"/>
                <w:u w:color="000000"/>
              </w:rPr>
              <w:br/>
              <w:t>przewidywany czas pobytu do 7 dni</w:t>
            </w:r>
          </w:p>
        </w:tc>
      </w:tr>
      <w:tr w:rsidR="00074C84">
        <w:trPr>
          <w:trHeight w:val="10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155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5.10.00.0000164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KLRP-2 etap II B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8 600,00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leczenie w oddziale szpitalnym - obejmuje kompleksowe leczenie chirurgiczne (operacyjne oczyszczenie i przeszczep) zgodnie z opisem KLRP-2;</w:t>
            </w:r>
            <w:r>
              <w:rPr>
                <w:color w:val="000000"/>
                <w:sz w:val="20"/>
                <w:u w:color="000000"/>
              </w:rPr>
              <w:br/>
            </w:r>
            <w:r>
              <w:rPr>
                <w:color w:val="000000"/>
                <w:sz w:val="20"/>
                <w:u w:color="000000"/>
              </w:rPr>
              <w:t>przewidywany czas pobytu minimum 10 dni</w:t>
            </w:r>
          </w:p>
        </w:tc>
      </w:tr>
      <w:tr w:rsidR="00074C84">
        <w:trPr>
          <w:trHeight w:val="684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156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5.10.00.0000165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KLRP-2 etap III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90,00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 xml:space="preserve">- za 1 wizytę zgodnie z opisem KLRP-2 </w:t>
            </w:r>
            <w:r>
              <w:rPr>
                <w:color w:val="000000"/>
                <w:sz w:val="20"/>
                <w:u w:color="000000"/>
              </w:rPr>
              <w:br/>
              <w:t>- można rozliczyć do 5 wizyt;</w:t>
            </w:r>
            <w:r>
              <w:rPr>
                <w:color w:val="000000"/>
                <w:sz w:val="20"/>
                <w:u w:color="000000"/>
              </w:rPr>
              <w:br/>
              <w:t>- w przypadku wizyt środowiskowych stosuje się mnożnik 1,1</w:t>
            </w:r>
          </w:p>
        </w:tc>
      </w:tr>
      <w:tr w:rsidR="00074C84">
        <w:trPr>
          <w:trHeight w:val="828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157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5.10.00.0000166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koszt </w:t>
            </w:r>
            <w:r>
              <w:rPr>
                <w:sz w:val="20"/>
              </w:rPr>
              <w:t>transportu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 xml:space="preserve">- koszt transportu sanitarnego rozliczany zgodnie z zasadami określonymi w  zarządzeniu </w:t>
            </w:r>
            <w:proofErr w:type="spellStart"/>
            <w:r>
              <w:rPr>
                <w:color w:val="000000"/>
                <w:sz w:val="20"/>
                <w:u w:color="000000"/>
              </w:rPr>
              <w:t>poz</w:t>
            </w:r>
            <w:proofErr w:type="spellEnd"/>
            <w:r>
              <w:rPr>
                <w:color w:val="000000"/>
                <w:sz w:val="20"/>
                <w:u w:color="000000"/>
              </w:rPr>
              <w:t>;</w:t>
            </w:r>
            <w:r>
              <w:rPr>
                <w:color w:val="000000"/>
                <w:sz w:val="20"/>
                <w:u w:color="000000"/>
              </w:rPr>
              <w:br/>
              <w:t>- rozliczanie maksymalnie do 5 transportów</w:t>
            </w:r>
          </w:p>
        </w:tc>
      </w:tr>
      <w:tr w:rsidR="00074C84">
        <w:trPr>
          <w:trHeight w:val="13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158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5.10.00.0000167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KLRP-2 etap IV - wizyta ewaluacyjna typu 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3 000,00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- zamknięcie </w:t>
            </w:r>
            <w:r>
              <w:rPr>
                <w:sz w:val="20"/>
              </w:rPr>
              <w:t>rany 100% potwierdzone zdjęciem i oceną planimetryczną;</w:t>
            </w:r>
          </w:p>
        </w:tc>
      </w:tr>
      <w:tr w:rsidR="00074C84">
        <w:trPr>
          <w:trHeight w:val="25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5.10.00.0000168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KLRP-2 etap IV - wizyta ewaluacyjna typu B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2 000,00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- zamknięcie rany powyżej 60 % powierzchni, potwierdzone zdjęciem i oceną planimetryczną;</w:t>
            </w:r>
            <w:r>
              <w:rPr>
                <w:color w:val="000000"/>
                <w:sz w:val="20"/>
                <w:u w:color="000000"/>
              </w:rPr>
              <w:br/>
            </w:r>
            <w:r>
              <w:rPr>
                <w:color w:val="000000"/>
                <w:sz w:val="20"/>
                <w:u w:color="000000"/>
              </w:rPr>
              <w:lastRenderedPageBreak/>
              <w:t xml:space="preserve">- nie można rozliczać </w:t>
            </w:r>
            <w:r>
              <w:rPr>
                <w:color w:val="000000"/>
                <w:sz w:val="20"/>
                <w:u w:color="000000"/>
              </w:rPr>
              <w:t>łącznie z wizytą ewaluacyjną typu A</w:t>
            </w:r>
          </w:p>
        </w:tc>
      </w:tr>
      <w:tr w:rsidR="00074C84">
        <w:trPr>
          <w:trHeight w:val="39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160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5.10.00.0000157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niepełnosprawności.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- za osobodzień;</w:t>
            </w:r>
            <w:r>
              <w:rPr>
                <w:color w:val="000000"/>
                <w:sz w:val="20"/>
                <w:u w:color="000000"/>
              </w:rPr>
              <w:br/>
              <w:t>- do</w:t>
            </w:r>
            <w:r>
              <w:rPr>
                <w:color w:val="000000"/>
                <w:sz w:val="20"/>
                <w:u w:color="000000"/>
              </w:rPr>
              <w:t xml:space="preserve"> rozliczania z produktem:</w:t>
            </w:r>
            <w:r>
              <w:rPr>
                <w:color w:val="000000"/>
                <w:sz w:val="20"/>
                <w:u w:color="000000"/>
              </w:rPr>
              <w:br/>
              <w:t>5.10.00.0000163,</w:t>
            </w:r>
          </w:p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5.10.00.0000164;</w:t>
            </w:r>
          </w:p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- do rozliczenia niezbędne jest oświadczenie przedstawiciela ustawowego albo opiekuna faktycznego pacjenta zgodnie ze wzorem stanowiącym załącznik nr 15 do zarządzenia;</w:t>
            </w:r>
            <w:r>
              <w:rPr>
                <w:color w:val="000000"/>
                <w:sz w:val="20"/>
                <w:u w:color="000000"/>
              </w:rPr>
              <w:br/>
              <w:t>- w przypadku opieki nad pa</w:t>
            </w:r>
            <w:r>
              <w:rPr>
                <w:color w:val="000000"/>
                <w:sz w:val="20"/>
                <w:u w:color="000000"/>
              </w:rPr>
              <w:t>cjentem posiadającym orzeczenie o znacznym stopniu niepełnosprawności konieczne jest przekazanie kodu uprawnienia;</w:t>
            </w:r>
            <w:r>
              <w:rPr>
                <w:color w:val="000000"/>
                <w:sz w:val="20"/>
                <w:u w:color="000000"/>
              </w:rPr>
              <w:br/>
              <w:t>- rozliczany wyłącznie w przypadku  sprawowania dodatkowej opieki pielęgnacyjnej, o której mowa w art. 34 ust. 3 ustawy z dnia 16 maja 2019 r</w:t>
            </w:r>
            <w:r>
              <w:rPr>
                <w:color w:val="000000"/>
                <w:sz w:val="20"/>
                <w:u w:color="000000"/>
              </w:rPr>
              <w:t>. o zmianie ustawy o prawach pacjenta i Rzeczniku Praw Pacjenta (Dz. U.  poz.1128).</w:t>
            </w:r>
          </w:p>
        </w:tc>
      </w:tr>
      <w:tr w:rsidR="00074C84">
        <w:trPr>
          <w:trHeight w:val="39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161</w:t>
            </w:r>
          </w:p>
        </w:tc>
        <w:tc>
          <w:tcPr>
            <w:tcW w:w="13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t>11.1100.011.02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Nadzór telemetryczny nad </w:t>
            </w:r>
            <w:r>
              <w:rPr>
                <w:sz w:val="20"/>
              </w:rPr>
              <w:lastRenderedPageBreak/>
              <w:t>pacjentami z implantowanymi urządzeniami wszczepialnymi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5.10.00.0000223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wydanie wyrobu medycznego do telemetrycznego </w:t>
            </w:r>
            <w:r>
              <w:rPr>
                <w:sz w:val="20"/>
              </w:rPr>
              <w:lastRenderedPageBreak/>
              <w:t xml:space="preserve">nadzoru </w:t>
            </w:r>
            <w:r>
              <w:rPr>
                <w:sz w:val="20"/>
              </w:rPr>
              <w:t>nad pacjentem z implantowanym urządzeniem wszczepialnym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2514,48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074C84" w:rsidRDefault="00074C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zgodnie z zasadami określonymi w lp. 35 załącznika nr 5 do </w:t>
            </w:r>
            <w:r>
              <w:rPr>
                <w:sz w:val="20"/>
              </w:rPr>
              <w:lastRenderedPageBreak/>
              <w:t>rozporządzenia</w:t>
            </w:r>
          </w:p>
        </w:tc>
      </w:tr>
      <w:tr w:rsidR="00074C84">
        <w:trPr>
          <w:trHeight w:val="39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162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5.10.00.0000224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 xml:space="preserve">porada edukacyjna związana </w:t>
            </w:r>
            <w:r>
              <w:rPr>
                <w:color w:val="000000"/>
                <w:sz w:val="20"/>
                <w:u w:color="000000"/>
              </w:rPr>
              <w:br/>
              <w:t>z włączeniem pacjenta do systemu nadzoru telemetrycznego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48,27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074C84" w:rsidRDefault="00074C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- za poradę obejmującą edukację pacjenta/rodziny/opiekuna umożliwiającą właściwe korzystanie z systemu nadzoru telemetrycznego;</w:t>
            </w:r>
          </w:p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- zgodnie z opisem określonym w lp. 35 załącznika nr 5 do rozporządzenia;</w:t>
            </w:r>
          </w:p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 xml:space="preserve">- do jednokrotnego rozliczenia łącznie </w:t>
            </w:r>
            <w:r>
              <w:rPr>
                <w:color w:val="000000"/>
                <w:sz w:val="20"/>
                <w:u w:color="000000"/>
              </w:rPr>
              <w:br/>
              <w:t>z produktem  5.10.00.0000223.</w:t>
            </w:r>
          </w:p>
        </w:tc>
      </w:tr>
      <w:tr w:rsidR="00074C84">
        <w:trPr>
          <w:trHeight w:val="39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163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5.10.00.0000225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prowadzenie telemetrycznego nadzoru nad pacjentem z implantowanym</w:t>
            </w:r>
          </w:p>
          <w:p w:rsidR="00074C84" w:rsidRDefault="001C47C9">
            <w:pPr>
              <w:jc w:val="left"/>
            </w:pPr>
            <w:r>
              <w:rPr>
                <w:sz w:val="20"/>
              </w:rPr>
              <w:t>urządzeniem wszczepialnym przez 1 miesiąc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112,47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074C84" w:rsidRDefault="00074C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za 1 miesiąc nadzoru, prowadzonego w </w:t>
            </w:r>
            <w:r>
              <w:rPr>
                <w:sz w:val="20"/>
              </w:rPr>
              <w:t>sposób określony w lp. 35 załącznika nr 5 do rozporządzenia</w:t>
            </w:r>
          </w:p>
        </w:tc>
      </w:tr>
      <w:tr w:rsidR="00074C84">
        <w:trPr>
          <w:trHeight w:val="72"/>
        </w:trPr>
        <w:tc>
          <w:tcPr>
            <w:tcW w:w="15015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074C84">
            <w:pPr>
              <w:jc w:val="left"/>
              <w:rPr>
                <w:color w:val="000000"/>
                <w:u w:color="000000"/>
              </w:rPr>
            </w:pPr>
          </w:p>
        </w:tc>
      </w:tr>
      <w:tr w:rsidR="00074C84">
        <w:trPr>
          <w:trHeight w:val="72"/>
        </w:trPr>
        <w:tc>
          <w:tcPr>
            <w:tcW w:w="15015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Warunki rozliczenia produktów rozliczeniowych</w:t>
            </w:r>
          </w:p>
        </w:tc>
      </w:tr>
      <w:tr w:rsidR="00074C84">
        <w:trPr>
          <w:trHeight w:val="156"/>
        </w:trPr>
        <w:tc>
          <w:tcPr>
            <w:tcW w:w="15015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N Położnictwo i opieka nad noworodkami  - KOC I</w:t>
            </w:r>
          </w:p>
        </w:tc>
      </w:tr>
      <w:tr w:rsidR="00074C84">
        <w:trPr>
          <w:trHeight w:val="156"/>
        </w:trPr>
        <w:tc>
          <w:tcPr>
            <w:tcW w:w="15015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N22KOC Noworodek wymagający intensywnej terapii</w:t>
            </w:r>
          </w:p>
        </w:tc>
      </w:tr>
      <w:tr w:rsidR="00074C84">
        <w:trPr>
          <w:trHeight w:val="96"/>
        </w:trPr>
        <w:tc>
          <w:tcPr>
            <w:tcW w:w="15015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i/>
                <w:sz w:val="20"/>
              </w:rPr>
              <w:t xml:space="preserve"> na warunkach obowiązującej charakterystyki JGP </w:t>
            </w:r>
            <w:r>
              <w:rPr>
                <w:b/>
                <w:i/>
                <w:sz w:val="20"/>
              </w:rPr>
              <w:t>określonej w obowiązującym zarządzeniu Prezesa NFZ w sprawie określenia warunków zawierania i realizacji  umów w rodzaju leczenie szpitalne oraz leczenie szpitalne – świadczenia wysokospecjalistyczne,</w:t>
            </w:r>
          </w:p>
        </w:tc>
      </w:tr>
      <w:tr w:rsidR="00074C84">
        <w:trPr>
          <w:trHeight w:val="384"/>
        </w:trPr>
        <w:tc>
          <w:tcPr>
            <w:tcW w:w="15015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 xml:space="preserve">N22AKOC Noworodek wymagający intensywnego </w:t>
            </w:r>
            <w:r>
              <w:rPr>
                <w:b/>
                <w:sz w:val="20"/>
              </w:rPr>
              <w:t>monitorowania i specjalistycznej opieki</w:t>
            </w:r>
          </w:p>
        </w:tc>
      </w:tr>
      <w:tr w:rsidR="00074C84">
        <w:trPr>
          <w:trHeight w:val="336"/>
        </w:trPr>
        <w:tc>
          <w:tcPr>
            <w:tcW w:w="15015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i/>
                <w:sz w:val="20"/>
              </w:rPr>
              <w:t> na warunkach obowiązującej charakterystyki JGP określonej w obowiązującym zarządzeniu Prezesa NFZ w sprawie określenia warunków zawierania i realizacji  umów w rodzaju leczenie szpitalne oraz leczenie szpitalne – ś</w:t>
            </w:r>
            <w:r>
              <w:rPr>
                <w:b/>
                <w:i/>
                <w:sz w:val="20"/>
              </w:rPr>
              <w:t>wiadczenia wysokospecjalistyczne,</w:t>
            </w:r>
          </w:p>
        </w:tc>
      </w:tr>
      <w:tr w:rsidR="00074C84">
        <w:trPr>
          <w:trHeight w:val="384"/>
        </w:trPr>
        <w:tc>
          <w:tcPr>
            <w:tcW w:w="15015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N23KOC Noworodek wymagający rozszerzonej diagnostyki </w:t>
            </w:r>
          </w:p>
        </w:tc>
      </w:tr>
      <w:tr w:rsidR="00074C84">
        <w:trPr>
          <w:trHeight w:val="312"/>
        </w:trPr>
        <w:tc>
          <w:tcPr>
            <w:tcW w:w="15015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i/>
                <w:sz w:val="20"/>
              </w:rPr>
              <w:lastRenderedPageBreak/>
              <w:t xml:space="preserve"> na warunkach obowiązującej charakterystyki JGP określonej w obowiązującym zarządzeniu Prezesa NFZ w sprawie określenia warunków zawierania i realizacji  umów w </w:t>
            </w:r>
            <w:r>
              <w:rPr>
                <w:b/>
                <w:i/>
                <w:sz w:val="20"/>
              </w:rPr>
              <w:t>rodzaju leczenie szpitalne oraz leczenie szpitalne – świadczenia wysokospecjalistyczne,</w:t>
            </w:r>
          </w:p>
        </w:tc>
      </w:tr>
      <w:tr w:rsidR="00074C84">
        <w:trPr>
          <w:trHeight w:val="84"/>
        </w:trPr>
        <w:tc>
          <w:tcPr>
            <w:tcW w:w="15015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N24KOC Noworodek wymagający szczególnej opieki</w:t>
            </w:r>
          </w:p>
        </w:tc>
      </w:tr>
      <w:tr w:rsidR="00074C84">
        <w:trPr>
          <w:trHeight w:val="348"/>
        </w:trPr>
        <w:tc>
          <w:tcPr>
            <w:tcW w:w="15015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i/>
                <w:sz w:val="20"/>
              </w:rPr>
              <w:t> na warunkach obowiązującej charakterystyki JGP określonej w obowiązującym zarządzeniu Prezesa NFZ w sprawie określenia</w:t>
            </w:r>
            <w:r>
              <w:rPr>
                <w:b/>
                <w:i/>
                <w:sz w:val="20"/>
              </w:rPr>
              <w:t xml:space="preserve"> warunków zawierania i realizacji  umów w rodzaju leczenie szpitalne oraz leczenie szpitalne – świadczenia wysokospecjalistyczne,</w:t>
            </w:r>
          </w:p>
        </w:tc>
      </w:tr>
      <w:tr w:rsidR="00074C84">
        <w:trPr>
          <w:trHeight w:val="180"/>
        </w:trPr>
        <w:tc>
          <w:tcPr>
            <w:tcW w:w="15015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N25KOC Noworodek wymagający wzmożonego nadzoru</w:t>
            </w:r>
          </w:p>
        </w:tc>
      </w:tr>
      <w:tr w:rsidR="00074C84">
        <w:trPr>
          <w:trHeight w:val="360"/>
        </w:trPr>
        <w:tc>
          <w:tcPr>
            <w:tcW w:w="15015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C84" w:rsidRDefault="001C47C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i/>
                <w:sz w:val="20"/>
              </w:rPr>
              <w:t xml:space="preserve"> na warunkach obowiązującej charakterystyki JGP określonej w obowiązującym </w:t>
            </w:r>
            <w:r>
              <w:rPr>
                <w:b/>
                <w:i/>
                <w:sz w:val="20"/>
              </w:rPr>
              <w:t>zarządzeniu Prezesa NFZ w sprawie określenia warunków zawierania i realizacji  umów w rodzaju leczenie szpitalne oraz leczenie szpitalne – świadczenia wysokospecjalistyczne,</w:t>
            </w:r>
          </w:p>
        </w:tc>
      </w:tr>
    </w:tbl>
    <w:p w:rsidR="00074C84" w:rsidRDefault="00074C84"/>
    <w:sectPr w:rsidR="00074C84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C84"/>
    <w:rsid w:val="00074C84"/>
    <w:rsid w:val="001C4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B40137-6251-4BB0-A62C-D81A6F71F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47</Pages>
  <Words>6115</Words>
  <Characters>36690</Characters>
  <Application>Microsoft Office Word</Application>
  <DocSecurity>0</DocSecurity>
  <Lines>305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z dnia 24 stycznia 2025 r.</vt:lpstr>
    </vt:vector>
  </TitlesOfParts>
  <Company/>
  <LinksUpToDate>false</LinksUpToDate>
  <CharactersWithSpaces>42720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z dnia 24 stycznia 2025 r.</dc:title>
  <dc:subject>zmieniające zarządzenie w sprawie określenia warunków zawierania i realizacji umów w rodzaju świadczenia zdrowotne kontraktowane odrębnie/tekst jednolity/</dc:subject>
  <dc:creator>Tomasz.Kolakowski</dc:creator>
  <cp:lastModifiedBy>Skierka Monika</cp:lastModifiedBy>
  <cp:revision>2</cp:revision>
  <dcterms:created xsi:type="dcterms:W3CDTF">2025-02-03T14:01:00Z</dcterms:created>
  <dcterms:modified xsi:type="dcterms:W3CDTF">2025-02-03T14:01:00Z</dcterms:modified>
  <cp:category>Akt prawny</cp:category>
</cp:coreProperties>
</file>