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6C" w:rsidRDefault="007E7C3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16 do zarządzenia Nr 9/2025/DGL</w:t>
      </w:r>
      <w:r>
        <w:br/>
        <w:t>Prezesa Narodowego Funduszu Zdrowia</w:t>
      </w:r>
      <w:r>
        <w:br/>
        <w:t>z dnia 30 stycznia 2025 r.</w:t>
      </w:r>
    </w:p>
    <w:p w:rsidR="00CE376C" w:rsidRDefault="007E7C3E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atypowego zespołu hemolityczno-mocznicowego (</w:t>
      </w:r>
      <w:proofErr w:type="spellStart"/>
      <w:r>
        <w:rPr>
          <w:b/>
        </w:rPr>
        <w:t>aHUS</w:t>
      </w:r>
      <w:proofErr w:type="spellEnd"/>
      <w:r>
        <w:rPr>
          <w:b/>
        </w:rPr>
        <w:t xml:space="preserve">) oraz </w:t>
      </w:r>
      <w:r>
        <w:rPr>
          <w:b/>
        </w:rPr>
        <w:t>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66"/>
        <w:gridCol w:w="7021"/>
      </w:tblGrid>
      <w:tr w:rsidR="00CE376C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CE376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kwalifikacja do leczenia atypowego zespołu hemolityczno-mocznicowego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>) oraz weryfikacja jego skuteczności,</w:t>
            </w:r>
          </w:p>
        </w:tc>
      </w:tr>
      <w:tr w:rsidR="00CE376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Leczenie chorych z atypowym zespołem hemolityczno-mocznicowym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>),</w:t>
            </w:r>
          </w:p>
        </w:tc>
      </w:tr>
      <w:tr w:rsidR="00CE376C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D 59.3 - Zespół hemolityczno-mocznicowy</w:t>
            </w:r>
          </w:p>
        </w:tc>
      </w:tr>
      <w:tr w:rsidR="00CE376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CE376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Zespół Koordynacyjny do Spraw Leczenia Atypowego Zespołu Hemolityczno-mocznicowego</w:t>
            </w:r>
          </w:p>
        </w:tc>
      </w:tr>
      <w:tr w:rsidR="00CE376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Instytut Matki</w:t>
            </w:r>
            <w:r>
              <w:rPr>
                <w:sz w:val="20"/>
              </w:rPr>
              <w:t xml:space="preserve"> i Dziecka</w:t>
            </w:r>
          </w:p>
          <w:p w:rsidR="00CE376C" w:rsidRDefault="007E7C3E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CE376C" w:rsidRDefault="007E7C3E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CE376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CE376C">
        <w:trPr>
          <w:trHeight w:val="11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zasady kwalifikacji chorych wymagających udzielenia świadcz</w:t>
            </w:r>
            <w:r>
              <w:rPr>
                <w:sz w:val="20"/>
              </w:rPr>
              <w:t>enia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CE376C" w:rsidRDefault="007E7C3E">
            <w:pPr>
              <w:jc w:val="left"/>
            </w:pPr>
            <w:r>
              <w:rPr>
                <w:sz w:val="20"/>
              </w:rPr>
              <w:t>2) kwalifikacja i weryfikacja skuteczności leczenia w zakresie atypowego zespołu hemolityczno-mocznicowego (</w:t>
            </w:r>
            <w:proofErr w:type="spellStart"/>
            <w:r>
              <w:rPr>
                <w:sz w:val="20"/>
              </w:rPr>
              <w:t>aHUS</w:t>
            </w:r>
            <w:proofErr w:type="spellEnd"/>
            <w:r>
              <w:rPr>
                <w:sz w:val="20"/>
              </w:rPr>
              <w:t xml:space="preserve">) w przypadku pacjentów leczonych </w:t>
            </w:r>
            <w:proofErr w:type="spellStart"/>
            <w:r>
              <w:rPr>
                <w:sz w:val="20"/>
              </w:rPr>
              <w:t>ekulizumebem</w:t>
            </w:r>
            <w:proofErr w:type="spellEnd"/>
            <w:r>
              <w:rPr>
                <w:sz w:val="20"/>
              </w:rPr>
              <w:t xml:space="preserve"> dokonywana jest w </w:t>
            </w:r>
            <w:r>
              <w:rPr>
                <w:sz w:val="20"/>
              </w:rPr>
              <w:t>oparciu o wnioski przedłożone za pośrednictwem elektronicznego systemu monitorowania programów lekowych</w:t>
            </w:r>
          </w:p>
        </w:tc>
      </w:tr>
      <w:tr w:rsidR="00CE376C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6C" w:rsidRDefault="007E7C3E">
            <w:pPr>
              <w:jc w:val="left"/>
            </w:pPr>
            <w:r>
              <w:rPr>
                <w:sz w:val="20"/>
              </w:rPr>
              <w:t>89.00 - porada lekarska, konsultacja, asy</w:t>
            </w:r>
            <w:r>
              <w:rPr>
                <w:sz w:val="20"/>
              </w:rPr>
              <w:t>sta</w:t>
            </w:r>
          </w:p>
        </w:tc>
      </w:tr>
    </w:tbl>
    <w:p w:rsidR="00CE376C" w:rsidRDefault="00CE376C"/>
    <w:sectPr w:rsidR="00CE376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76C"/>
    <w:rsid w:val="007E7C3E"/>
    <w:rsid w:val="00C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CFE18-5B8C-4C6B-8C45-9E169457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2025-01-31T07:17:00Z</dcterms:created>
  <dcterms:modified xsi:type="dcterms:W3CDTF">2025-01-31T07:17:00Z</dcterms:modified>
  <cp:category>Akt prawny</cp:category>
</cp:coreProperties>
</file>